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03CF" w14:textId="77777777" w:rsidR="0087699D" w:rsidRPr="003E5824" w:rsidRDefault="0087699D" w:rsidP="003E5824">
      <w:pPr>
        <w:pStyle w:val="Heading1"/>
        <w:spacing w:before="120"/>
        <w:rPr>
          <w:color w:val="00B050"/>
        </w:rPr>
      </w:pPr>
      <w:bookmarkStart w:id="0" w:name="_GoBack"/>
      <w:bookmarkEnd w:id="0"/>
      <w:r w:rsidRPr="003E5824">
        <w:rPr>
          <w:color w:val="00B050"/>
        </w:rPr>
        <w:t>Key Points for ACGME Resident Survey</w:t>
      </w:r>
    </w:p>
    <w:p w14:paraId="4F0364EC" w14:textId="4B8D69B8" w:rsidR="003E5824" w:rsidRPr="0013145B" w:rsidRDefault="003E5824" w:rsidP="0087699D">
      <w:pPr>
        <w:spacing w:after="0"/>
        <w:rPr>
          <w:b/>
        </w:rPr>
      </w:pPr>
      <w:r w:rsidRPr="003E5824">
        <w:rPr>
          <w:b/>
          <w:color w:val="FF0000"/>
        </w:rPr>
        <w:t xml:space="preserve">IMPORTANT: </w:t>
      </w:r>
      <w:r w:rsidRPr="003E5824">
        <w:rPr>
          <w:b/>
        </w:rPr>
        <w:t xml:space="preserve">This is a </w:t>
      </w:r>
      <w:r w:rsidRPr="003E5824">
        <w:rPr>
          <w:b/>
          <w:u w:val="single"/>
        </w:rPr>
        <w:t>high stakes survey</w:t>
      </w:r>
      <w:r w:rsidRPr="003E5824">
        <w:rPr>
          <w:b/>
        </w:rPr>
        <w:t xml:space="preserve"> on which investigatory site visits and accreditation decisions are based. </w:t>
      </w:r>
    </w:p>
    <w:p w14:paraId="4868711D" w14:textId="77777777" w:rsidR="0087699D" w:rsidRPr="00E161BB" w:rsidRDefault="0087699D" w:rsidP="0087699D">
      <w:pPr>
        <w:pStyle w:val="ListParagraph"/>
        <w:numPr>
          <w:ilvl w:val="0"/>
          <w:numId w:val="17"/>
        </w:numPr>
        <w:spacing w:after="0"/>
        <w:rPr>
          <w:sz w:val="18"/>
        </w:rPr>
      </w:pPr>
      <w:r w:rsidRPr="00E161BB">
        <w:rPr>
          <w:sz w:val="18"/>
        </w:rPr>
        <w:t xml:space="preserve">No </w:t>
      </w:r>
      <w:r w:rsidRPr="003E6C34">
        <w:rPr>
          <w:sz w:val="18"/>
          <w:u w:val="single"/>
        </w:rPr>
        <w:t>individual</w:t>
      </w:r>
      <w:r w:rsidRPr="00E161BB">
        <w:rPr>
          <w:sz w:val="18"/>
        </w:rPr>
        <w:t xml:space="preserve"> responses are given to the program, program directors, faculty members, Sponsoring Institutions, or the Review Committees. </w:t>
      </w:r>
    </w:p>
    <w:p w14:paraId="69C85241" w14:textId="77777777" w:rsidR="0087699D" w:rsidRPr="00E161BB" w:rsidRDefault="0087699D" w:rsidP="0087699D">
      <w:pPr>
        <w:pStyle w:val="ListParagraph"/>
        <w:numPr>
          <w:ilvl w:val="0"/>
          <w:numId w:val="17"/>
        </w:numPr>
        <w:spacing w:before="200" w:after="0"/>
        <w:rPr>
          <w:sz w:val="18"/>
        </w:rPr>
      </w:pPr>
      <w:r w:rsidRPr="00E161BB">
        <w:rPr>
          <w:sz w:val="18"/>
        </w:rPr>
        <w:t xml:space="preserve">The </w:t>
      </w:r>
      <w:r>
        <w:rPr>
          <w:sz w:val="18"/>
        </w:rPr>
        <w:t>aggregated</w:t>
      </w:r>
      <w:r w:rsidRPr="00E161BB">
        <w:rPr>
          <w:sz w:val="18"/>
        </w:rPr>
        <w:t xml:space="preserve"> data will </w:t>
      </w:r>
      <w:r>
        <w:rPr>
          <w:sz w:val="18"/>
        </w:rPr>
        <w:t xml:space="preserve">be </w:t>
      </w:r>
      <w:r w:rsidRPr="00E161BB">
        <w:rPr>
          <w:sz w:val="18"/>
        </w:rPr>
        <w:t xml:space="preserve">part of the </w:t>
      </w:r>
      <w:r>
        <w:rPr>
          <w:sz w:val="18"/>
        </w:rPr>
        <w:t>data</w:t>
      </w:r>
      <w:r w:rsidRPr="00E161BB">
        <w:rPr>
          <w:sz w:val="18"/>
        </w:rPr>
        <w:t xml:space="preserve"> considered by the accreditation site visitor and the Review Committee for the purposes of </w:t>
      </w:r>
      <w:r>
        <w:rPr>
          <w:sz w:val="18"/>
        </w:rPr>
        <w:t>determining the need for an investigatory site visit or an accreditation decision.</w:t>
      </w:r>
    </w:p>
    <w:p w14:paraId="450876F5" w14:textId="77777777" w:rsidR="0087699D" w:rsidRPr="006B117C" w:rsidRDefault="0087699D" w:rsidP="0087699D">
      <w:pPr>
        <w:pStyle w:val="ListParagraph"/>
        <w:numPr>
          <w:ilvl w:val="0"/>
          <w:numId w:val="17"/>
        </w:numPr>
        <w:spacing w:before="200" w:after="0"/>
        <w:rPr>
          <w:sz w:val="18"/>
        </w:rPr>
      </w:pPr>
      <w:r w:rsidRPr="00E161BB">
        <w:rPr>
          <w:sz w:val="18"/>
        </w:rPr>
        <w:t xml:space="preserve">There may be additional questions specific to a survey taker’s specialty and level of training. </w:t>
      </w:r>
    </w:p>
    <w:p w14:paraId="53D86B92" w14:textId="77777777" w:rsidR="0087699D" w:rsidRPr="003E5824" w:rsidRDefault="0087699D" w:rsidP="0087699D">
      <w:pPr>
        <w:pStyle w:val="ListParagraph"/>
        <w:numPr>
          <w:ilvl w:val="0"/>
          <w:numId w:val="9"/>
        </w:numPr>
        <w:spacing w:after="0"/>
        <w:rPr>
          <w:sz w:val="20"/>
        </w:rPr>
      </w:pPr>
      <w:r w:rsidRPr="003E5824">
        <w:rPr>
          <w:sz w:val="20"/>
        </w:rPr>
        <w:t xml:space="preserve">The </w:t>
      </w:r>
      <w:r w:rsidRPr="003E5824">
        <w:rPr>
          <w:b/>
          <w:sz w:val="20"/>
        </w:rPr>
        <w:t>yes/no</w:t>
      </w:r>
      <w:r w:rsidRPr="003E5824">
        <w:rPr>
          <w:sz w:val="20"/>
        </w:rPr>
        <w:t xml:space="preserve"> questions are </w:t>
      </w:r>
      <w:r w:rsidRPr="003E5824">
        <w:rPr>
          <w:b/>
          <w:sz w:val="20"/>
          <w:u w:val="single"/>
        </w:rPr>
        <w:t>not</w:t>
      </w:r>
      <w:r w:rsidRPr="003E5824">
        <w:rPr>
          <w:sz w:val="20"/>
        </w:rPr>
        <w:t xml:space="preserve"> included in the program means and their purpose is to obtain statistics about the program.</w:t>
      </w:r>
    </w:p>
    <w:p w14:paraId="30A3AD10" w14:textId="77777777" w:rsidR="0087699D" w:rsidRPr="003E5824" w:rsidRDefault="0087699D" w:rsidP="0087699D">
      <w:pPr>
        <w:pStyle w:val="ListParagraph"/>
        <w:numPr>
          <w:ilvl w:val="0"/>
          <w:numId w:val="9"/>
        </w:numPr>
        <w:spacing w:before="200" w:after="0"/>
        <w:rPr>
          <w:sz w:val="20"/>
        </w:rPr>
      </w:pPr>
      <w:r w:rsidRPr="003E5824">
        <w:rPr>
          <w:sz w:val="20"/>
        </w:rPr>
        <w:t xml:space="preserve">Think about the </w:t>
      </w:r>
      <w:r w:rsidRPr="003E5824">
        <w:rPr>
          <w:b/>
          <w:sz w:val="20"/>
        </w:rPr>
        <w:t>entire year</w:t>
      </w:r>
      <w:r w:rsidRPr="003E5824">
        <w:rPr>
          <w:sz w:val="20"/>
        </w:rPr>
        <w:t>, not just the last few days/weeks when responding</w:t>
      </w:r>
    </w:p>
    <w:p w14:paraId="1232FD4E" w14:textId="77777777" w:rsidR="0087699D" w:rsidRPr="006B117C" w:rsidRDefault="0087699D" w:rsidP="0087699D">
      <w:pPr>
        <w:pStyle w:val="ListParagraph"/>
        <w:spacing w:after="0"/>
        <w:ind w:left="360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319"/>
      </w:tblGrid>
      <w:tr w:rsidR="003E5824" w:rsidRPr="003E5824" w14:paraId="465A38E7" w14:textId="77777777" w:rsidTr="003E5824">
        <w:tc>
          <w:tcPr>
            <w:tcW w:w="10638" w:type="dxa"/>
            <w:gridSpan w:val="2"/>
            <w:shd w:val="clear" w:color="auto" w:fill="00B050"/>
          </w:tcPr>
          <w:p w14:paraId="492C5F8B" w14:textId="77777777" w:rsidR="0087699D" w:rsidRPr="003E5824" w:rsidRDefault="0087699D" w:rsidP="00D425EC">
            <w:pPr>
              <w:pStyle w:val="Heading1"/>
              <w:spacing w:before="0"/>
              <w:outlineLvl w:val="0"/>
              <w:rPr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Clinical Experience and Education</w:t>
            </w:r>
          </w:p>
        </w:tc>
      </w:tr>
      <w:tr w:rsidR="0087699D" w:rsidRPr="00F8461A" w14:paraId="75938161" w14:textId="77777777" w:rsidTr="003E5824">
        <w:tc>
          <w:tcPr>
            <w:tcW w:w="5319" w:type="dxa"/>
          </w:tcPr>
          <w:p w14:paraId="0E45D4DB" w14:textId="77777777" w:rsidR="0087699D" w:rsidRPr="00F8461A" w:rsidRDefault="0087699D" w:rsidP="00D425EC">
            <w:pPr>
              <w:rPr>
                <w:sz w:val="18"/>
              </w:rPr>
            </w:pPr>
            <w:r w:rsidRPr="00F8461A">
              <w:rPr>
                <w:sz w:val="18"/>
              </w:rPr>
              <w:t>Areas of Requirement:</w:t>
            </w:r>
          </w:p>
          <w:p w14:paraId="28038E5B" w14:textId="77777777" w:rsidR="0087699D" w:rsidRPr="00F8461A" w:rsidRDefault="0087699D" w:rsidP="0087699D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F8461A">
              <w:rPr>
                <w:sz w:val="16"/>
              </w:rPr>
              <w:t>80 hours per week</w:t>
            </w:r>
          </w:p>
          <w:p w14:paraId="2B7906C3" w14:textId="77777777" w:rsidR="0087699D" w:rsidRPr="00F8461A" w:rsidRDefault="0087699D" w:rsidP="0087699D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F8461A">
              <w:rPr>
                <w:sz w:val="16"/>
              </w:rPr>
              <w:t>1 day free in 7</w:t>
            </w:r>
          </w:p>
          <w:p w14:paraId="5D05282D" w14:textId="77777777" w:rsidR="0087699D" w:rsidRPr="00F8461A" w:rsidRDefault="0087699D" w:rsidP="0087699D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F8461A">
              <w:rPr>
                <w:sz w:val="16"/>
              </w:rPr>
              <w:t>In-house call every 3</w:t>
            </w:r>
            <w:r w:rsidRPr="00F8461A">
              <w:rPr>
                <w:sz w:val="16"/>
                <w:vertAlign w:val="superscript"/>
              </w:rPr>
              <w:t>rd</w:t>
            </w:r>
            <w:r w:rsidRPr="00F8461A">
              <w:rPr>
                <w:sz w:val="16"/>
              </w:rPr>
              <w:t xml:space="preserve"> night (this does not pertain to night float)</w:t>
            </w:r>
          </w:p>
          <w:p w14:paraId="29E32F2D" w14:textId="77777777" w:rsidR="0087699D" w:rsidRPr="00F8461A" w:rsidRDefault="0087699D" w:rsidP="0087699D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F8461A">
              <w:rPr>
                <w:sz w:val="16"/>
              </w:rPr>
              <w:t>14 hours free after 24 hours of in-house call</w:t>
            </w:r>
          </w:p>
          <w:p w14:paraId="0B95893F" w14:textId="77777777" w:rsidR="0087699D" w:rsidRPr="00F8461A" w:rsidRDefault="0087699D" w:rsidP="0087699D">
            <w:pPr>
              <w:pStyle w:val="ListParagraph"/>
              <w:numPr>
                <w:ilvl w:val="0"/>
                <w:numId w:val="10"/>
              </w:numPr>
              <w:rPr>
                <w:sz w:val="18"/>
              </w:rPr>
            </w:pPr>
            <w:r w:rsidRPr="00F8461A">
              <w:rPr>
                <w:sz w:val="16"/>
              </w:rPr>
              <w:t>8 hours between clinical experience and educational work hours</w:t>
            </w:r>
          </w:p>
        </w:tc>
        <w:tc>
          <w:tcPr>
            <w:tcW w:w="5319" w:type="dxa"/>
          </w:tcPr>
          <w:p w14:paraId="02BEFCB3" w14:textId="77777777" w:rsidR="0087699D" w:rsidRPr="00F8461A" w:rsidRDefault="0087699D" w:rsidP="00D425EC">
            <w:pPr>
              <w:rPr>
                <w:sz w:val="18"/>
              </w:rPr>
            </w:pPr>
            <w:r w:rsidRPr="00F8461A">
              <w:rPr>
                <w:sz w:val="18"/>
              </w:rPr>
              <w:t>Reasons for exceeding requirements:</w:t>
            </w:r>
          </w:p>
          <w:p w14:paraId="73F10517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>Patient needs</w:t>
            </w:r>
          </w:p>
          <w:p w14:paraId="005D27B1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>Paperwork</w:t>
            </w:r>
          </w:p>
          <w:p w14:paraId="10C85DBD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>Additional educational experience</w:t>
            </w:r>
          </w:p>
          <w:p w14:paraId="71C0C41F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>Covering someone else’s work</w:t>
            </w:r>
          </w:p>
          <w:p w14:paraId="0B30C4C5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>Night float</w:t>
            </w:r>
          </w:p>
          <w:p w14:paraId="68F967A5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>Schedule conflict</w:t>
            </w:r>
          </w:p>
          <w:p w14:paraId="430A19FB" w14:textId="77777777" w:rsidR="0087699D" w:rsidRPr="00F8461A" w:rsidRDefault="0087699D" w:rsidP="0087699D">
            <w:pPr>
              <w:pStyle w:val="ListParagraph"/>
              <w:numPr>
                <w:ilvl w:val="0"/>
                <w:numId w:val="11"/>
              </w:numPr>
              <w:rPr>
                <w:sz w:val="16"/>
              </w:rPr>
            </w:pPr>
            <w:r w:rsidRPr="00F8461A">
              <w:rPr>
                <w:sz w:val="16"/>
              </w:rPr>
              <w:t xml:space="preserve">Other </w:t>
            </w:r>
          </w:p>
        </w:tc>
      </w:tr>
      <w:tr w:rsidR="003E5824" w:rsidRPr="003E5824" w14:paraId="00792F1D" w14:textId="77777777" w:rsidTr="003E5824">
        <w:tc>
          <w:tcPr>
            <w:tcW w:w="10638" w:type="dxa"/>
            <w:gridSpan w:val="2"/>
            <w:shd w:val="clear" w:color="auto" w:fill="00B050"/>
          </w:tcPr>
          <w:p w14:paraId="36D76637" w14:textId="77777777" w:rsidR="0087699D" w:rsidRPr="003E5824" w:rsidRDefault="0087699D" w:rsidP="00D425EC">
            <w:pPr>
              <w:pStyle w:val="Heading1"/>
              <w:spacing w:before="0"/>
              <w:outlineLvl w:val="0"/>
              <w:rPr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Faculty</w:t>
            </w:r>
          </w:p>
        </w:tc>
      </w:tr>
      <w:tr w:rsidR="0087699D" w:rsidRPr="006B117C" w14:paraId="3B255BEE" w14:textId="77777777" w:rsidTr="003E5824">
        <w:tc>
          <w:tcPr>
            <w:tcW w:w="5319" w:type="dxa"/>
          </w:tcPr>
          <w:p w14:paraId="44112AED" w14:textId="77777777" w:rsidR="0087699D" w:rsidRPr="006B117C" w:rsidRDefault="0087699D" w:rsidP="0087699D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6B117C">
              <w:rPr>
                <w:sz w:val="16"/>
              </w:rPr>
              <w:t>Sufficient supervision</w:t>
            </w:r>
          </w:p>
          <w:p w14:paraId="61A89333" w14:textId="77777777" w:rsidR="0087699D" w:rsidRPr="006B117C" w:rsidRDefault="0087699D" w:rsidP="0087699D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6B117C">
              <w:rPr>
                <w:sz w:val="16"/>
              </w:rPr>
              <w:t>Appropriate level of supervision</w:t>
            </w:r>
          </w:p>
          <w:p w14:paraId="1B23ED50" w14:textId="77777777" w:rsidR="0087699D" w:rsidRPr="006B117C" w:rsidRDefault="0087699D" w:rsidP="00D425EC">
            <w:pPr>
              <w:rPr>
                <w:sz w:val="16"/>
              </w:rPr>
            </w:pPr>
          </w:p>
        </w:tc>
        <w:tc>
          <w:tcPr>
            <w:tcW w:w="5319" w:type="dxa"/>
          </w:tcPr>
          <w:p w14:paraId="4C53CB1C" w14:textId="77777777" w:rsidR="0087699D" w:rsidRPr="006B117C" w:rsidRDefault="0087699D" w:rsidP="0087699D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6B117C">
              <w:rPr>
                <w:sz w:val="16"/>
              </w:rPr>
              <w:t>Faculty and staff interested in residency education Faculty and staff create an environment of inquiry</w:t>
            </w:r>
          </w:p>
          <w:p w14:paraId="45A3E217" w14:textId="77777777" w:rsidR="0087699D" w:rsidRPr="006B117C" w:rsidRDefault="0087699D" w:rsidP="0087699D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6B117C">
              <w:rPr>
                <w:sz w:val="16"/>
              </w:rPr>
              <w:t>Sufficient instruction</w:t>
            </w:r>
          </w:p>
        </w:tc>
      </w:tr>
      <w:tr w:rsidR="003E5824" w:rsidRPr="003E5824" w14:paraId="1844091D" w14:textId="77777777" w:rsidTr="003E5824">
        <w:tc>
          <w:tcPr>
            <w:tcW w:w="10638" w:type="dxa"/>
            <w:gridSpan w:val="2"/>
            <w:shd w:val="clear" w:color="auto" w:fill="00B050"/>
          </w:tcPr>
          <w:p w14:paraId="23448F8E" w14:textId="77777777" w:rsidR="0087699D" w:rsidRPr="003E5824" w:rsidRDefault="0087699D" w:rsidP="00D425EC">
            <w:pPr>
              <w:pStyle w:val="Heading1"/>
              <w:spacing w:before="0"/>
              <w:outlineLvl w:val="0"/>
              <w:rPr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Evaluation</w:t>
            </w:r>
          </w:p>
        </w:tc>
      </w:tr>
      <w:tr w:rsidR="0087699D" w:rsidRPr="006B117C" w14:paraId="30A7380E" w14:textId="77777777" w:rsidTr="003E5824">
        <w:tc>
          <w:tcPr>
            <w:tcW w:w="5319" w:type="dxa"/>
          </w:tcPr>
          <w:p w14:paraId="051E5ECD" w14:textId="0FFAB827" w:rsidR="0087699D" w:rsidRPr="006B117C" w:rsidRDefault="0087699D" w:rsidP="0087699D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6B117C">
              <w:rPr>
                <w:sz w:val="16"/>
              </w:rPr>
              <w:t>Able to access evaluations</w:t>
            </w:r>
          </w:p>
          <w:p w14:paraId="792799F6" w14:textId="77777777" w:rsidR="0087699D" w:rsidRPr="006B117C" w:rsidRDefault="0087699D" w:rsidP="0087699D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6B117C">
              <w:rPr>
                <w:sz w:val="16"/>
              </w:rPr>
              <w:t>Opportunity to evaluate faculty members</w:t>
            </w:r>
          </w:p>
          <w:p w14:paraId="7F4A7B1C" w14:textId="77777777" w:rsidR="0087699D" w:rsidRPr="006B117C" w:rsidRDefault="0087699D" w:rsidP="0087699D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6B117C">
              <w:rPr>
                <w:sz w:val="16"/>
              </w:rPr>
              <w:t>Satisfied that program uses evaluations to improve</w:t>
            </w:r>
          </w:p>
        </w:tc>
        <w:tc>
          <w:tcPr>
            <w:tcW w:w="5319" w:type="dxa"/>
          </w:tcPr>
          <w:p w14:paraId="6761CE0A" w14:textId="77777777" w:rsidR="0087699D" w:rsidRPr="006B117C" w:rsidRDefault="0087699D" w:rsidP="0087699D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6B117C">
              <w:rPr>
                <w:sz w:val="16"/>
              </w:rPr>
              <w:t>Satisfied that evaluations of faculty are confidential</w:t>
            </w:r>
          </w:p>
          <w:p w14:paraId="2E2A52FD" w14:textId="77777777" w:rsidR="0087699D" w:rsidRPr="006B117C" w:rsidRDefault="0087699D" w:rsidP="0087699D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6B117C">
              <w:rPr>
                <w:sz w:val="16"/>
              </w:rPr>
              <w:t>Satisfied with feedback after assignments</w:t>
            </w:r>
          </w:p>
          <w:p w14:paraId="28BE8955" w14:textId="1BE01562" w:rsidR="0087699D" w:rsidRPr="006B117C" w:rsidRDefault="0087699D" w:rsidP="0087699D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6B117C">
              <w:rPr>
                <w:sz w:val="16"/>
              </w:rPr>
              <w:t>Opportunity to evaluate program</w:t>
            </w:r>
          </w:p>
        </w:tc>
      </w:tr>
      <w:tr w:rsidR="003E5824" w:rsidRPr="003E5824" w14:paraId="134D8464" w14:textId="77777777" w:rsidTr="003E5824">
        <w:tc>
          <w:tcPr>
            <w:tcW w:w="10638" w:type="dxa"/>
            <w:gridSpan w:val="2"/>
            <w:shd w:val="clear" w:color="auto" w:fill="00B050"/>
          </w:tcPr>
          <w:p w14:paraId="1A1E3114" w14:textId="77777777" w:rsidR="0087699D" w:rsidRPr="003E5824" w:rsidRDefault="0087699D" w:rsidP="00D425EC">
            <w:pPr>
              <w:pStyle w:val="Heading1"/>
              <w:spacing w:before="0"/>
              <w:outlineLvl w:val="0"/>
              <w:rPr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Educational Content</w:t>
            </w:r>
          </w:p>
        </w:tc>
      </w:tr>
      <w:tr w:rsidR="0087699D" w:rsidRPr="006B117C" w14:paraId="78808FBC" w14:textId="77777777" w:rsidTr="003E5824">
        <w:tc>
          <w:tcPr>
            <w:tcW w:w="5319" w:type="dxa"/>
          </w:tcPr>
          <w:p w14:paraId="1FDCA5AE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Education compromised by excessive reliance on non-physician obligations (transport, scheduling other than continuity clinic)</w:t>
            </w:r>
          </w:p>
          <w:p w14:paraId="6ECCC446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Instructed how to manage fatigue (discussed fatigue management at orientation, at mid-year review)</w:t>
            </w:r>
          </w:p>
          <w:p w14:paraId="409296E2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Supervisors delegate appropriately</w:t>
            </w:r>
          </w:p>
          <w:p w14:paraId="52B333D7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Satisfied with opportunities for scholarly activities</w:t>
            </w:r>
          </w:p>
        </w:tc>
        <w:tc>
          <w:tcPr>
            <w:tcW w:w="5319" w:type="dxa"/>
          </w:tcPr>
          <w:p w14:paraId="3FD8B3D8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Provided data about practice habits (provided patient data at your mid-year review)</w:t>
            </w:r>
          </w:p>
          <w:p w14:paraId="77783F28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Appropriate balance between education and other clinical demands</w:t>
            </w:r>
          </w:p>
          <w:p w14:paraId="5B1BCBA1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See patients across a variety of settings</w:t>
            </w:r>
          </w:p>
          <w:p w14:paraId="545FC11E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Provided goals and objectives for assignments</w:t>
            </w:r>
          </w:p>
        </w:tc>
      </w:tr>
      <w:tr w:rsidR="003E5824" w:rsidRPr="003E5824" w14:paraId="4C120F67" w14:textId="77777777" w:rsidTr="003E5824">
        <w:tc>
          <w:tcPr>
            <w:tcW w:w="10638" w:type="dxa"/>
            <w:gridSpan w:val="2"/>
            <w:shd w:val="clear" w:color="auto" w:fill="00B050"/>
          </w:tcPr>
          <w:p w14:paraId="77171874" w14:textId="77777777" w:rsidR="0087699D" w:rsidRPr="003E5824" w:rsidRDefault="0087699D" w:rsidP="00D425EC">
            <w:pPr>
              <w:pStyle w:val="Heading1"/>
              <w:spacing w:before="0"/>
              <w:outlineLvl w:val="0"/>
              <w:rPr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Resources</w:t>
            </w:r>
          </w:p>
        </w:tc>
      </w:tr>
      <w:tr w:rsidR="0087699D" w:rsidRPr="006B117C" w14:paraId="1A8581E1" w14:textId="77777777" w:rsidTr="003E5824">
        <w:tc>
          <w:tcPr>
            <w:tcW w:w="5319" w:type="dxa"/>
          </w:tcPr>
          <w:p w14:paraId="6BE5C698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Access to reference materials</w:t>
            </w:r>
          </w:p>
          <w:p w14:paraId="6900AFCD" w14:textId="77777777" w:rsidR="0087699D" w:rsidRPr="006B117C" w:rsidRDefault="0087699D" w:rsidP="0087699D">
            <w:pPr>
              <w:pStyle w:val="ListParagraph"/>
              <w:numPr>
                <w:ilvl w:val="0"/>
                <w:numId w:val="14"/>
              </w:numPr>
              <w:rPr>
                <w:sz w:val="16"/>
              </w:rPr>
            </w:pPr>
            <w:r w:rsidRPr="006B117C">
              <w:rPr>
                <w:sz w:val="16"/>
              </w:rPr>
              <w:t>Provided a way to transition care when fatigued (Jeopardy call can be used)</w:t>
            </w:r>
          </w:p>
          <w:p w14:paraId="5A652B9B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Satisfied with process to deal with problems and concerns (multiple pathways for resolving issues/concerns)</w:t>
            </w:r>
          </w:p>
          <w:p w14:paraId="7646B4DE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Residents/fellows can raise concerns without fear</w:t>
            </w:r>
          </w:p>
          <w:p w14:paraId="1195A781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Education compromised by other trainees (other trainees create a rich training environment)</w:t>
            </w:r>
          </w:p>
        </w:tc>
        <w:tc>
          <w:tcPr>
            <w:tcW w:w="5319" w:type="dxa"/>
          </w:tcPr>
          <w:p w14:paraId="3547C745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Use electronic medical records in hospital (Y/N)</w:t>
            </w:r>
          </w:p>
          <w:p w14:paraId="1DB47FE1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Use electronic medical records in ambulatory settings (Y/N)</w:t>
            </w:r>
          </w:p>
          <w:p w14:paraId="309A9E1A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Electronic medical records integrated across settings (Y/N)</w:t>
            </w:r>
          </w:p>
          <w:p w14:paraId="36B00A3C" w14:textId="77777777" w:rsidR="0087699D" w:rsidRPr="006B117C" w:rsidRDefault="0087699D" w:rsidP="0087699D">
            <w:pPr>
              <w:pStyle w:val="ListParagraph"/>
              <w:numPr>
                <w:ilvl w:val="0"/>
                <w:numId w:val="15"/>
              </w:numPr>
              <w:rPr>
                <w:sz w:val="16"/>
              </w:rPr>
            </w:pPr>
            <w:r w:rsidRPr="006B117C">
              <w:rPr>
                <w:sz w:val="16"/>
              </w:rPr>
              <w:t>Electronic medical records effective in daily clinical work</w:t>
            </w:r>
          </w:p>
        </w:tc>
      </w:tr>
      <w:tr w:rsidR="003E5824" w:rsidRPr="003E5824" w14:paraId="054CE4D5" w14:textId="77777777" w:rsidTr="003E5824">
        <w:tc>
          <w:tcPr>
            <w:tcW w:w="10638" w:type="dxa"/>
            <w:gridSpan w:val="2"/>
            <w:shd w:val="clear" w:color="auto" w:fill="00B050"/>
          </w:tcPr>
          <w:p w14:paraId="0ED465AA" w14:textId="77777777" w:rsidR="0087699D" w:rsidRPr="003E5824" w:rsidRDefault="0087699D" w:rsidP="00D425EC">
            <w:pPr>
              <w:pStyle w:val="Heading1"/>
              <w:spacing w:before="0"/>
              <w:outlineLvl w:val="0"/>
              <w:rPr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Patient Safety and Teamwork</w:t>
            </w:r>
          </w:p>
        </w:tc>
      </w:tr>
      <w:tr w:rsidR="0087699D" w:rsidRPr="006B117C" w14:paraId="0FD734EF" w14:textId="77777777" w:rsidTr="003E5824">
        <w:tc>
          <w:tcPr>
            <w:tcW w:w="5319" w:type="dxa"/>
          </w:tcPr>
          <w:p w14:paraId="71F36A16" w14:textId="77777777" w:rsidR="0087699D" w:rsidRPr="006B117C" w:rsidRDefault="0087699D" w:rsidP="0087699D">
            <w:pPr>
              <w:pStyle w:val="ListParagraph"/>
              <w:numPr>
                <w:ilvl w:val="0"/>
                <w:numId w:val="16"/>
              </w:numPr>
              <w:rPr>
                <w:sz w:val="16"/>
              </w:rPr>
            </w:pPr>
            <w:r w:rsidRPr="006B117C">
              <w:rPr>
                <w:sz w:val="16"/>
              </w:rPr>
              <w:t>Culture reinforces patient safety responsibility</w:t>
            </w:r>
          </w:p>
          <w:p w14:paraId="2239BC5D" w14:textId="77777777" w:rsidR="0087699D" w:rsidRPr="006B117C" w:rsidRDefault="0087699D" w:rsidP="0087699D">
            <w:pPr>
              <w:pStyle w:val="ListParagraph"/>
              <w:numPr>
                <w:ilvl w:val="0"/>
                <w:numId w:val="16"/>
              </w:numPr>
              <w:rPr>
                <w:sz w:val="16"/>
              </w:rPr>
            </w:pPr>
            <w:r w:rsidRPr="006B117C">
              <w:rPr>
                <w:sz w:val="16"/>
              </w:rPr>
              <w:t>Tell patients of respective roles of faculty members and residents</w:t>
            </w:r>
          </w:p>
          <w:p w14:paraId="1BFC04B1" w14:textId="77777777" w:rsidR="0087699D" w:rsidRPr="006B117C" w:rsidRDefault="0087699D" w:rsidP="0087699D">
            <w:pPr>
              <w:pStyle w:val="ListParagraph"/>
              <w:numPr>
                <w:ilvl w:val="0"/>
                <w:numId w:val="16"/>
              </w:numPr>
              <w:rPr>
                <w:sz w:val="16"/>
              </w:rPr>
            </w:pPr>
            <w:r w:rsidRPr="006B117C">
              <w:rPr>
                <w:sz w:val="16"/>
              </w:rPr>
              <w:t>Work in interprofessional teams</w:t>
            </w:r>
          </w:p>
        </w:tc>
        <w:tc>
          <w:tcPr>
            <w:tcW w:w="5319" w:type="dxa"/>
          </w:tcPr>
          <w:p w14:paraId="2E4CCA07" w14:textId="77777777" w:rsidR="0087699D" w:rsidRPr="006B117C" w:rsidRDefault="0087699D" w:rsidP="0087699D">
            <w:pPr>
              <w:pStyle w:val="ListParagraph"/>
              <w:numPr>
                <w:ilvl w:val="0"/>
                <w:numId w:val="16"/>
              </w:numPr>
              <w:rPr>
                <w:sz w:val="16"/>
              </w:rPr>
            </w:pPr>
            <w:r w:rsidRPr="006B117C">
              <w:rPr>
                <w:sz w:val="16"/>
              </w:rPr>
              <w:t>Effectively work in interprofessional teams</w:t>
            </w:r>
          </w:p>
          <w:p w14:paraId="52EF2C35" w14:textId="77777777" w:rsidR="0087699D" w:rsidRPr="006B117C" w:rsidRDefault="0087699D" w:rsidP="0087699D">
            <w:pPr>
              <w:pStyle w:val="ListParagraph"/>
              <w:numPr>
                <w:ilvl w:val="0"/>
                <w:numId w:val="16"/>
              </w:numPr>
              <w:rPr>
                <w:sz w:val="16"/>
              </w:rPr>
            </w:pPr>
            <w:r w:rsidRPr="006B117C">
              <w:rPr>
                <w:sz w:val="16"/>
              </w:rPr>
              <w:t>Information lost during shift changes or patient transfers</w:t>
            </w:r>
          </w:p>
          <w:p w14:paraId="3C7FD9E7" w14:textId="77777777" w:rsidR="0087699D" w:rsidRPr="006B117C" w:rsidRDefault="0087699D" w:rsidP="0087699D">
            <w:pPr>
              <w:pStyle w:val="ListParagraph"/>
              <w:numPr>
                <w:ilvl w:val="0"/>
                <w:numId w:val="16"/>
              </w:numPr>
              <w:rPr>
                <w:sz w:val="16"/>
              </w:rPr>
            </w:pPr>
            <w:r w:rsidRPr="006B117C">
              <w:rPr>
                <w:sz w:val="16"/>
              </w:rPr>
              <w:t>Participated in quality improvement or patient safety activities</w:t>
            </w:r>
          </w:p>
        </w:tc>
      </w:tr>
      <w:tr w:rsidR="003E5824" w:rsidRPr="003E5824" w14:paraId="4CD181F6" w14:textId="77777777" w:rsidTr="003E5824">
        <w:tc>
          <w:tcPr>
            <w:tcW w:w="10638" w:type="dxa"/>
            <w:gridSpan w:val="2"/>
            <w:shd w:val="clear" w:color="auto" w:fill="00B050"/>
          </w:tcPr>
          <w:p w14:paraId="4E166946" w14:textId="77777777" w:rsidR="0087699D" w:rsidRPr="003E5824" w:rsidRDefault="0087699D" w:rsidP="00D425EC">
            <w:pPr>
              <w:pStyle w:val="Heading2"/>
              <w:spacing w:before="0"/>
              <w:outlineLvl w:val="1"/>
              <w:rPr>
                <w:i/>
                <w:color w:val="FFFFFF" w:themeColor="background1"/>
                <w:sz w:val="24"/>
              </w:rPr>
            </w:pPr>
            <w:r w:rsidRPr="003E5824">
              <w:rPr>
                <w:color w:val="FFFFFF" w:themeColor="background1"/>
                <w:sz w:val="24"/>
              </w:rPr>
              <w:t>Wellness Questions</w:t>
            </w:r>
            <w:r w:rsidRPr="003E5824">
              <w:rPr>
                <w:color w:val="FFFFFF" w:themeColor="background1"/>
                <w:sz w:val="24"/>
              </w:rPr>
              <w:tab/>
            </w:r>
          </w:p>
        </w:tc>
      </w:tr>
      <w:tr w:rsidR="003E5824" w:rsidRPr="006B117C" w14:paraId="22E1605C" w14:textId="77777777" w:rsidTr="003E5824">
        <w:tc>
          <w:tcPr>
            <w:tcW w:w="10638" w:type="dxa"/>
            <w:gridSpan w:val="2"/>
          </w:tcPr>
          <w:p w14:paraId="1C707FBE" w14:textId="520D4C68" w:rsidR="003E5824" w:rsidRPr="003E5824" w:rsidRDefault="003E5824" w:rsidP="003E5824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3E5824">
              <w:rPr>
                <w:sz w:val="16"/>
              </w:rPr>
              <w:t xml:space="preserve">Not part of the Survey; data are being gathered for baseline data; will </w:t>
            </w:r>
            <w:r w:rsidRPr="003E5824">
              <w:rPr>
                <w:b/>
                <w:sz w:val="16"/>
                <w:u w:val="single"/>
              </w:rPr>
              <w:t>not</w:t>
            </w:r>
            <w:r w:rsidRPr="003E5824">
              <w:rPr>
                <w:sz w:val="16"/>
              </w:rPr>
              <w:t xml:space="preserve"> be used for accreditation purposes</w:t>
            </w:r>
          </w:p>
        </w:tc>
      </w:tr>
    </w:tbl>
    <w:p w14:paraId="0EA730D0" w14:textId="77777777" w:rsidR="007835D0" w:rsidRPr="0087699D" w:rsidRDefault="007835D0" w:rsidP="0087699D"/>
    <w:sectPr w:rsidR="007835D0" w:rsidRPr="0087699D" w:rsidSect="00AF4256">
      <w:headerReference w:type="default" r:id="rId7"/>
      <w:footerReference w:type="default" r:id="rId8"/>
      <w:pgSz w:w="12240" w:h="15840"/>
      <w:pgMar w:top="25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A628" w14:textId="77777777" w:rsidR="00E87527" w:rsidRDefault="00E87527" w:rsidP="009965B4">
      <w:pPr>
        <w:spacing w:after="0" w:line="240" w:lineRule="auto"/>
      </w:pPr>
      <w:r>
        <w:separator/>
      </w:r>
    </w:p>
  </w:endnote>
  <w:endnote w:type="continuationSeparator" w:id="0">
    <w:p w14:paraId="2CA892CE" w14:textId="77777777" w:rsidR="00E87527" w:rsidRDefault="00E87527" w:rsidP="0099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6C94" w14:textId="77777777" w:rsidR="00AF4256" w:rsidRPr="00AF4256" w:rsidRDefault="00AF4256" w:rsidP="00AF4256">
    <w:pPr>
      <w:pBdr>
        <w:top w:val="single" w:sz="36" w:space="1" w:color="007049"/>
      </w:pBdr>
      <w:rPr>
        <w:rFonts w:ascii="Arial" w:eastAsia="Arial" w:hAnsi="Arial" w:cs="Arial"/>
        <w:sz w:val="14"/>
        <w:szCs w:val="16"/>
      </w:rPr>
    </w:pPr>
    <w:r w:rsidRPr="00AF4256">
      <w:rPr>
        <w:rFonts w:ascii="Arial" w:eastAsia="Arial" w:hAnsi="Arial" w:cs="Arial"/>
        <w:sz w:val="14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2F0219A8" w14:textId="77777777" w:rsidR="009965B4" w:rsidRPr="00AF4256" w:rsidRDefault="009965B4" w:rsidP="00AF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9234E" w14:textId="77777777" w:rsidR="00E87527" w:rsidRDefault="00E87527" w:rsidP="009965B4">
      <w:pPr>
        <w:spacing w:after="0" w:line="240" w:lineRule="auto"/>
      </w:pPr>
      <w:r>
        <w:separator/>
      </w:r>
    </w:p>
  </w:footnote>
  <w:footnote w:type="continuationSeparator" w:id="0">
    <w:p w14:paraId="5292D7F4" w14:textId="77777777" w:rsidR="00E87527" w:rsidRDefault="00E87527" w:rsidP="0099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DA2" w14:textId="0E98709D" w:rsidR="009965B4" w:rsidRDefault="00AF42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1FE6F6" wp14:editId="705DD280">
              <wp:simplePos x="0" y="0"/>
              <wp:positionH relativeFrom="column">
                <wp:posOffset>-114300</wp:posOffset>
              </wp:positionH>
              <wp:positionV relativeFrom="paragraph">
                <wp:posOffset>1095375</wp:posOffset>
              </wp:positionV>
              <wp:extent cx="6905625" cy="0"/>
              <wp:effectExtent l="0" t="19050" r="47625" b="381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317F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B696B" id="Straight Connector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6.25pt" to="534.7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" strokecolor="#317f3e" strokeweight="4.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287CF9B" wp14:editId="01C38CAD">
              <wp:simplePos x="0" y="0"/>
              <wp:positionH relativeFrom="column">
                <wp:posOffset>-180975</wp:posOffset>
              </wp:positionH>
              <wp:positionV relativeFrom="paragraph">
                <wp:posOffset>81801</wp:posOffset>
              </wp:positionV>
              <wp:extent cx="7448550" cy="823138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550" cy="823138"/>
                        <a:chOff x="0" y="0"/>
                        <a:chExt cx="7448550" cy="904875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  <wps:wsp>
                      <wps:cNvPr id="6" name="Rectangle 6"/>
                      <wps:cNvSpPr/>
                      <wps:spPr>
                        <a:xfrm>
                          <a:off x="2727960" y="113979"/>
                          <a:ext cx="4720590" cy="64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CF0C9" w14:textId="78447210" w:rsidR="009965B4" w:rsidRPr="009965B4" w:rsidRDefault="009965B4" w:rsidP="009965B4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9965B4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  <wps:wsp>
                      <wps:cNvPr id="8" name="Rectangle 8"/>
                      <wps:cNvSpPr/>
                      <wps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  <wps:wsp>
                      <wps:cNvPr id="9" name="Rectangle 9"/>
                      <wps:cNvSpPr/>
                      <wps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7CF9B" id="Group 3" o:spid="_x0000_s1026" style="position:absolute;margin-left:-14.25pt;margin-top:6.45pt;width:586.5pt;height:64.8pt;z-index:251657728;mso-width-relative:margin;mso-height-relative:margin" coordsize="7448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">
              <v:rect id="Rectangle 5" o:spid="_x0000_s1027" style="position:absolute;width:22790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<v:textbox inset="2.53958mm,2.53958mm,2.53958mm,2.53958mm"/>
              </v:rect>
              <v:rect id="Rectangle 6" o:spid="_x0000_s1028" style="position:absolute;left:27279;top:1139;width:47206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14:paraId="62CCF0C9" w14:textId="78447210" w:rsidR="009965B4" w:rsidRPr="009965B4" w:rsidRDefault="009965B4" w:rsidP="009965B4">
                      <w:pPr>
                        <w:textDirection w:val="btLr"/>
                        <w:rPr>
                          <w:sz w:val="20"/>
                        </w:rPr>
                      </w:pPr>
                      <w:r w:rsidRPr="009965B4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</w:txbxContent>
                </v:textbox>
              </v:rect>
              <v:rect id="Rectangle 8" o:spid="_x0000_s1029" style="position:absolute;left:51725;top:6960;width:150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<v:textbox inset="2.53958mm,2.53958mm,2.53958mm,2.53958mm"/>
              </v:rect>
              <v:rect id="Rectangle 9" o:spid="_x0000_s1030" style="position:absolute;left:39578;top:6960;width:1505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<v:textbox inset="2.53958mm,2.53958mm,2.53958mm,2.53958mm"/>
              </v:rect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2F82B6" wp14:editId="47C9B84F">
              <wp:simplePos x="0" y="0"/>
              <wp:positionH relativeFrom="column">
                <wp:posOffset>1809750</wp:posOffset>
              </wp:positionH>
              <wp:positionV relativeFrom="paragraph">
                <wp:posOffset>679971</wp:posOffset>
              </wp:positionV>
              <wp:extent cx="5410200" cy="233762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0200" cy="2337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F8520" w14:textId="77777777" w:rsidR="00AF4256" w:rsidRPr="00AF4256" w:rsidRDefault="00AF4256" w:rsidP="00AF4256">
                          <w:pPr>
                            <w:jc w:val="center"/>
                            <w:textDirection w:val="btLr"/>
                            <w:rPr>
                              <w:sz w:val="20"/>
                            </w:rPr>
                          </w:pPr>
                          <w:r w:rsidRPr="00AF4256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      www.PartnersInMedEd.com            724-864-7320             Info@PartnersInMedEd.com</w:t>
                          </w:r>
                          <w:r w:rsidRPr="00AF4256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52F82B6" id="Rectangle 17" o:spid="_x0000_s1031" style="position:absolute;margin-left:142.5pt;margin-top:53.55pt;width:426pt;height:18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" filled="f" stroked="f">
              <v:textbox inset="2.53958mm,1.2694mm,2.53958mm,1.2694mm">
                <w:txbxContent>
                  <w:p w14:paraId="764F8520" w14:textId="77777777" w:rsidR="00AF4256" w:rsidRPr="00AF4256" w:rsidRDefault="00AF4256" w:rsidP="00AF4256">
                    <w:pPr>
                      <w:jc w:val="center"/>
                      <w:textDirection w:val="btLr"/>
                      <w:rPr>
                        <w:sz w:val="20"/>
                      </w:rPr>
                    </w:pPr>
                    <w:r w:rsidRPr="00AF4256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      www.PartnersInMedEd.com            724-864-7320             Info@PartnersInMedEd.com</w:t>
                    </w:r>
                    <w:r w:rsidRPr="00AF4256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9965B4">
      <w:rPr>
        <w:noProof/>
      </w:rPr>
      <w:drawing>
        <wp:anchor distT="0" distB="0" distL="114300" distR="114300" simplePos="0" relativeHeight="251654656" behindDoc="0" locked="0" layoutInCell="1" hidden="0" allowOverlap="1" wp14:anchorId="7ECFDCCC" wp14:editId="4D5CCB0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098040" cy="782320"/>
          <wp:effectExtent l="0" t="0" r="0" b="0"/>
          <wp:wrapSquare wrapText="bothSides" distT="0" distB="0" distL="114300" distR="114300"/>
          <wp:docPr id="1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804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79D"/>
    <w:multiLevelType w:val="hybridMultilevel"/>
    <w:tmpl w:val="273A3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65CFB"/>
    <w:multiLevelType w:val="hybridMultilevel"/>
    <w:tmpl w:val="974E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53541"/>
    <w:multiLevelType w:val="hybridMultilevel"/>
    <w:tmpl w:val="76C6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042D9"/>
    <w:multiLevelType w:val="hybridMultilevel"/>
    <w:tmpl w:val="96E42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11CFE"/>
    <w:multiLevelType w:val="hybridMultilevel"/>
    <w:tmpl w:val="0914C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50135A"/>
    <w:multiLevelType w:val="hybridMultilevel"/>
    <w:tmpl w:val="343C6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81F1B"/>
    <w:multiLevelType w:val="hybridMultilevel"/>
    <w:tmpl w:val="562C5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77698"/>
    <w:multiLevelType w:val="hybridMultilevel"/>
    <w:tmpl w:val="DDDC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70418"/>
    <w:multiLevelType w:val="hybridMultilevel"/>
    <w:tmpl w:val="548C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D548D"/>
    <w:multiLevelType w:val="hybridMultilevel"/>
    <w:tmpl w:val="F642C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A3BFC"/>
    <w:multiLevelType w:val="hybridMultilevel"/>
    <w:tmpl w:val="BFB28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F7B19"/>
    <w:multiLevelType w:val="hybridMultilevel"/>
    <w:tmpl w:val="7ED2A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7605B6"/>
    <w:multiLevelType w:val="hybridMultilevel"/>
    <w:tmpl w:val="C012F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381F73"/>
    <w:multiLevelType w:val="hybridMultilevel"/>
    <w:tmpl w:val="7E68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E509CF"/>
    <w:multiLevelType w:val="hybridMultilevel"/>
    <w:tmpl w:val="02ACD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14678"/>
    <w:multiLevelType w:val="hybridMultilevel"/>
    <w:tmpl w:val="3F0A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930FC"/>
    <w:multiLevelType w:val="hybridMultilevel"/>
    <w:tmpl w:val="A1AA6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DE3EC9"/>
    <w:multiLevelType w:val="hybridMultilevel"/>
    <w:tmpl w:val="A222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1"/>
  </w:num>
  <w:num w:numId="5">
    <w:abstractNumId w:val="9"/>
  </w:num>
  <w:num w:numId="6">
    <w:abstractNumId w:val="1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16"/>
    <w:rsid w:val="00100E37"/>
    <w:rsid w:val="00342716"/>
    <w:rsid w:val="003E5824"/>
    <w:rsid w:val="0051730E"/>
    <w:rsid w:val="005A647D"/>
    <w:rsid w:val="005C10E2"/>
    <w:rsid w:val="006F112F"/>
    <w:rsid w:val="00736E06"/>
    <w:rsid w:val="007835D0"/>
    <w:rsid w:val="0087699D"/>
    <w:rsid w:val="00985544"/>
    <w:rsid w:val="009965B4"/>
    <w:rsid w:val="00AF4256"/>
    <w:rsid w:val="00B202FD"/>
    <w:rsid w:val="00D1387B"/>
    <w:rsid w:val="00D849AB"/>
    <w:rsid w:val="00E33CE8"/>
    <w:rsid w:val="00E87527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E6EF6"/>
  <w15:docId w15:val="{F816F75B-9996-4064-959D-C75FEDE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5B4"/>
  </w:style>
  <w:style w:type="paragraph" w:styleId="Footer">
    <w:name w:val="footer"/>
    <w:basedOn w:val="Normal"/>
    <w:link w:val="FooterChar"/>
    <w:uiPriority w:val="99"/>
    <w:unhideWhenUsed/>
    <w:rsid w:val="0099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5B4"/>
  </w:style>
  <w:style w:type="paragraph" w:styleId="Subtitle">
    <w:name w:val="Subtitle"/>
    <w:basedOn w:val="Normal"/>
    <w:next w:val="Normal"/>
    <w:link w:val="SubtitleChar"/>
    <w:uiPriority w:val="11"/>
    <w:qFormat/>
    <w:rsid w:val="007835D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35D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4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Peters Harvey</dc:creator>
  <cp:lastModifiedBy>Microsoft Office User</cp:lastModifiedBy>
  <cp:revision>2</cp:revision>
  <cp:lastPrinted>2018-06-12T18:31:00Z</cp:lastPrinted>
  <dcterms:created xsi:type="dcterms:W3CDTF">2018-08-14T14:17:00Z</dcterms:created>
  <dcterms:modified xsi:type="dcterms:W3CDTF">2018-08-14T14:17:00Z</dcterms:modified>
</cp:coreProperties>
</file>