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6390"/>
        <w:gridCol w:w="3990"/>
      </w:tblGrid>
      <w:tr w:rsidR="00290427" w:rsidRPr="00200065" w:rsidTr="00AB5657">
        <w:trPr>
          <w:trHeight w:val="385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 PATHWAY 1: Education on care transitions</w:t>
            </w:r>
          </w:p>
        </w:tc>
      </w:tr>
      <w:tr w:rsidR="00AB5211" w:rsidRPr="00200065" w:rsidTr="00D14FCE">
        <w:trPr>
          <w:trHeight w:val="2087"/>
        </w:trPr>
        <w:tc>
          <w:tcPr>
            <w:tcW w:w="6390" w:type="dxa"/>
          </w:tcPr>
          <w:p w:rsidR="00AB5211" w:rsidRPr="00C96330" w:rsidRDefault="00AB5211" w:rsidP="00200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and faculty members know the clinical site’s transitions of care policies and procedures</w:t>
            </w:r>
          </w:p>
          <w:p w:rsidR="00200065" w:rsidRPr="00D14FCE" w:rsidRDefault="00200065" w:rsidP="0020006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211" w:rsidRPr="00C96330" w:rsidRDefault="00AB5211" w:rsidP="00200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Residents/fellows participate in simulated or real-time </w:t>
            </w:r>
            <w:proofErr w:type="spellStart"/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interprofessional</w:t>
            </w:r>
            <w:proofErr w:type="spellEnd"/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training on communication to optimize transitions of care at the clinical site</w:t>
            </w:r>
          </w:p>
          <w:p w:rsidR="00200065" w:rsidRPr="00D14FCE" w:rsidRDefault="00200065" w:rsidP="002000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5211" w:rsidRPr="00AB5657" w:rsidRDefault="00AB5211" w:rsidP="002000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Faculty members participate in simulated or real-time professional training on transitions of care at the clinical site</w:t>
            </w:r>
          </w:p>
        </w:tc>
        <w:tc>
          <w:tcPr>
            <w:tcW w:w="3990" w:type="dxa"/>
          </w:tcPr>
          <w:p w:rsidR="00AB5211" w:rsidRPr="00AB5657" w:rsidRDefault="00E4211D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200065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AB5211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AB5211" w:rsidRPr="00C96330" w:rsidRDefault="00200065" w:rsidP="002000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211"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E421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5211" w:rsidRPr="00C96330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  <w:p w:rsidR="00AB5211" w:rsidRPr="00D14FCE" w:rsidRDefault="00AB5211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AB5211" w:rsidRPr="00AB5657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:rsidR="00AB5211" w:rsidRPr="00AB5657" w:rsidRDefault="00AB5211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B4A" w:rsidRDefault="00200065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AB5211" w:rsidRPr="00AB5657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  <w:tr w:rsidR="00290427" w:rsidRPr="00200065" w:rsidTr="00AB5657">
        <w:trPr>
          <w:trHeight w:val="440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CT </w:t>
            </w:r>
            <w:r w:rsidR="00200065"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PATHWAY</w:t>
            </w: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2:  Resident/fellow engagement in change of duty hand-offs</w:t>
            </w:r>
          </w:p>
        </w:tc>
      </w:tr>
      <w:tr w:rsidR="00290427" w:rsidRPr="00200065" w:rsidTr="00C873D3">
        <w:trPr>
          <w:trHeight w:val="1889"/>
        </w:trPr>
        <w:tc>
          <w:tcPr>
            <w:tcW w:w="6390" w:type="dxa"/>
          </w:tcPr>
          <w:p w:rsidR="00290427" w:rsidRPr="00C96330" w:rsidRDefault="00290427" w:rsidP="00200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use a common clinical site-based process for change of duty hand-offs.</w:t>
            </w:r>
          </w:p>
          <w:p w:rsidR="00200065" w:rsidRPr="00C873D3" w:rsidRDefault="00200065" w:rsidP="0020006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427" w:rsidRPr="00C96330" w:rsidRDefault="00290427" w:rsidP="00200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Resident/fellow change of duty hand-offs involve, as appropriate </w:t>
            </w:r>
            <w:proofErr w:type="spellStart"/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interprofessional</w:t>
            </w:r>
            <w:proofErr w:type="spellEnd"/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staff members (e.g., nurses) at the clinical site.</w:t>
            </w:r>
          </w:p>
          <w:p w:rsidR="00200065" w:rsidRPr="00C873D3" w:rsidRDefault="00200065" w:rsidP="002000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427" w:rsidRPr="00AB5657" w:rsidRDefault="00290427" w:rsidP="002000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Resident/fellow change-of-duty handoffs involve, as appropriate, patients and families at the clinical site</w:t>
            </w:r>
          </w:p>
        </w:tc>
        <w:tc>
          <w:tcPr>
            <w:tcW w:w="3990" w:type="dxa"/>
          </w:tcPr>
          <w:p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290427" w:rsidRPr="00C96330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:rsidR="00E83B4A" w:rsidRDefault="00200065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E4211D" w:rsidRPr="00C96330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:rsidR="00200065" w:rsidRDefault="00200065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211D" w:rsidRPr="00AB5657" w:rsidRDefault="00E83B4A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E4211D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E4211D" w:rsidRPr="00AB5657" w:rsidRDefault="00E4211D" w:rsidP="00E421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  <w:tr w:rsidR="00290427" w:rsidRPr="00200065" w:rsidTr="00AB5657">
        <w:trPr>
          <w:trHeight w:val="422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CT </w:t>
            </w:r>
            <w:r w:rsidR="00200065"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PATHWAY</w:t>
            </w: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3:  Resident/fellow and faculty member engagement in patient transfers between services and locations</w:t>
            </w:r>
          </w:p>
        </w:tc>
      </w:tr>
      <w:tr w:rsidR="00290427" w:rsidRPr="00200065" w:rsidTr="00D029BF">
        <w:trPr>
          <w:trHeight w:val="2168"/>
        </w:trPr>
        <w:tc>
          <w:tcPr>
            <w:tcW w:w="6390" w:type="dxa"/>
          </w:tcPr>
          <w:p w:rsidR="00290427" w:rsidRPr="00C96330" w:rsidRDefault="00290427" w:rsidP="00200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use a standardized direct verbal communication process for patient transfers between services and locations at the clinical site.</w:t>
            </w:r>
          </w:p>
          <w:p w:rsidR="00CD7FF3" w:rsidRPr="00C873D3" w:rsidRDefault="00CD7FF3" w:rsidP="00CD7FF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427" w:rsidRPr="00C96330" w:rsidRDefault="00290427" w:rsidP="002000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Resident/fellow transfers of patients between services and locations at the clinical site involve, as appropriate, </w:t>
            </w:r>
            <w:proofErr w:type="spellStart"/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interprofessional</w:t>
            </w:r>
            <w:proofErr w:type="spellEnd"/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staff members.</w:t>
            </w:r>
          </w:p>
          <w:p w:rsidR="00CD7FF3" w:rsidRPr="00C873D3" w:rsidRDefault="00CD7FF3" w:rsidP="00CD7F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427" w:rsidRPr="00AB5657" w:rsidRDefault="00290427" w:rsidP="004305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Residents/fellows participate with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site leadership in the development of strategies for improving transitions of care.</w:t>
            </w:r>
          </w:p>
        </w:tc>
        <w:tc>
          <w:tcPr>
            <w:tcW w:w="3990" w:type="dxa"/>
          </w:tcPr>
          <w:p w:rsidR="00E83B4A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744D13" w:rsidRPr="00C96330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:rsidR="00290427" w:rsidRPr="00C96330" w:rsidRDefault="00290427" w:rsidP="00200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B4A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CD7FF3" w:rsidRPr="00C96330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  <w:p w:rsidR="00CD7FF3" w:rsidRPr="00AB5657" w:rsidRDefault="00CD7FF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B4A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CD7FF3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low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  <w:tr w:rsidR="00290427" w:rsidRPr="00200065" w:rsidTr="00AB5657">
        <w:trPr>
          <w:trHeight w:val="350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:rsidR="00290427" w:rsidRPr="00AB5657" w:rsidRDefault="00290427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CT </w:t>
            </w:r>
            <w:r w:rsidR="00200065"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PATHWAY</w:t>
            </w: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4:  Faculty member engagement in assessing resident/fellow-related patient transitions of care</w:t>
            </w:r>
          </w:p>
        </w:tc>
      </w:tr>
      <w:tr w:rsidR="00290427" w:rsidRPr="00200065" w:rsidTr="00C873D3">
        <w:trPr>
          <w:trHeight w:val="2141"/>
        </w:trPr>
        <w:tc>
          <w:tcPr>
            <w:tcW w:w="6390" w:type="dxa"/>
          </w:tcPr>
          <w:p w:rsidR="00290427" w:rsidRPr="00C96330" w:rsidRDefault="00290427" w:rsidP="002000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Through program-based standardized processes and direct observation, resident/fellows are assessed for their ability to move from direct to indirect faculty member supervision in the conduct of patient transfers at change of duty, and in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patient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transfers between services and locations at the clinical site.</w:t>
            </w:r>
          </w:p>
          <w:p w:rsidR="00744D13" w:rsidRPr="00C873D3" w:rsidRDefault="00744D13" w:rsidP="00744D13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0065" w:rsidRPr="00AB5657" w:rsidRDefault="00200065" w:rsidP="0043057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Faculty members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periodically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monitor resident/fellow transfers of patient care at change-of-duty, and resident/fellow </w:t>
            </w:r>
            <w:r w:rsidR="00430572" w:rsidRPr="00C96330">
              <w:rPr>
                <w:rFonts w:ascii="Times New Roman" w:hAnsi="Times New Roman" w:cs="Times New Roman"/>
                <w:sz w:val="20"/>
                <w:szCs w:val="20"/>
              </w:rPr>
              <w:t>transfers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of patients between services and locations for quality control at the clinical site.</w:t>
            </w:r>
          </w:p>
        </w:tc>
        <w:tc>
          <w:tcPr>
            <w:tcW w:w="3990" w:type="dxa"/>
          </w:tcPr>
          <w:p w:rsidR="00E83B4A" w:rsidRDefault="00E83B4A" w:rsidP="00744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="00744D13"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744D13" w:rsidRPr="00E83B4A" w:rsidRDefault="00E83B4A" w:rsidP="00744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44D13"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</w:p>
          <w:p w:rsidR="00290427" w:rsidRPr="00C96330" w:rsidRDefault="00290427" w:rsidP="002000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D13" w:rsidRPr="00AB5657" w:rsidRDefault="00744D1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D13" w:rsidRPr="00AB5657" w:rsidRDefault="00744D1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D13" w:rsidRPr="00AB5657" w:rsidRDefault="00744D13" w:rsidP="002000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744D13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30572" w:rsidRPr="00200065" w:rsidTr="00AB5657">
        <w:trPr>
          <w:trHeight w:val="480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:rsidR="00430572" w:rsidRPr="00AB5657" w:rsidRDefault="00430572" w:rsidP="00AB5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56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 PATHWAY 5:  Resident/fellow and faculty member engagement in communication between primary and consulting teams</w:t>
            </w:r>
          </w:p>
        </w:tc>
      </w:tr>
      <w:tr w:rsidR="00430572" w:rsidRPr="00200065" w:rsidTr="00D14FCE">
        <w:trPr>
          <w:trHeight w:val="539"/>
        </w:trPr>
        <w:tc>
          <w:tcPr>
            <w:tcW w:w="6390" w:type="dxa"/>
          </w:tcPr>
          <w:p w:rsidR="00430572" w:rsidRPr="00C96330" w:rsidRDefault="00430572" w:rsidP="004305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Residents/fellows and faculty members use direct communication in the development of patient care plans among primary and consulting teams</w:t>
            </w:r>
          </w:p>
        </w:tc>
        <w:tc>
          <w:tcPr>
            <w:tcW w:w="3990" w:type="dxa"/>
          </w:tcPr>
          <w:p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430572" w:rsidRPr="00AB5657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</w:p>
        </w:tc>
      </w:tr>
      <w:tr w:rsidR="00430572" w:rsidRPr="00200065" w:rsidTr="00C96330">
        <w:trPr>
          <w:trHeight w:val="287"/>
        </w:trPr>
        <w:tc>
          <w:tcPr>
            <w:tcW w:w="10380" w:type="dxa"/>
            <w:gridSpan w:val="2"/>
            <w:shd w:val="clear" w:color="auto" w:fill="9BBB59" w:themeFill="accent3"/>
            <w:vAlign w:val="center"/>
          </w:tcPr>
          <w:p w:rsidR="00430572" w:rsidRPr="00C96330" w:rsidRDefault="00430572" w:rsidP="00C963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CT PATHWAY 6:  Clinical site monitoring of care transitions</w:t>
            </w:r>
          </w:p>
        </w:tc>
      </w:tr>
      <w:tr w:rsidR="00430572" w:rsidRPr="00200065" w:rsidTr="00C873D3">
        <w:trPr>
          <w:trHeight w:val="1430"/>
        </w:trPr>
        <w:tc>
          <w:tcPr>
            <w:tcW w:w="6390" w:type="dxa"/>
          </w:tcPr>
          <w:p w:rsidR="00430572" w:rsidRPr="00C96330" w:rsidRDefault="00430572" w:rsidP="004305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>The clinical site’s leadership monitors transitions of patient care managed by residents and fellows</w:t>
            </w:r>
          </w:p>
          <w:p w:rsidR="00430572" w:rsidRPr="00C873D3" w:rsidRDefault="00430572" w:rsidP="004305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72" w:rsidRPr="00D14FCE" w:rsidRDefault="00430572" w:rsidP="00C873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The clinical site’s </w:t>
            </w:r>
            <w:r w:rsidRPr="00C873D3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Pr="00C96330">
              <w:rPr>
                <w:rFonts w:ascii="Times New Roman" w:hAnsi="Times New Roman" w:cs="Times New Roman"/>
                <w:sz w:val="20"/>
                <w:szCs w:val="20"/>
              </w:rPr>
              <w:t xml:space="preserve"> involves program directors in the development and implementation of strategies to improve transitions of</w:t>
            </w:r>
            <w:r w:rsidR="00D14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9BF">
              <w:rPr>
                <w:rFonts w:ascii="Times New Roman" w:hAnsi="Times New Roman" w:cs="Times New Roman"/>
                <w:sz w:val="20"/>
                <w:szCs w:val="20"/>
              </w:rPr>
              <w:t>care.</w:t>
            </w:r>
          </w:p>
        </w:tc>
        <w:tc>
          <w:tcPr>
            <w:tcW w:w="3990" w:type="dxa"/>
          </w:tcPr>
          <w:p w:rsidR="00E83B4A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E83B4A" w:rsidRPr="00C96330" w:rsidRDefault="00E83B4A" w:rsidP="00E83B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                                                                           high</w:t>
            </w:r>
          </w:p>
          <w:p w:rsidR="00430572" w:rsidRPr="00C96330" w:rsidRDefault="00430572" w:rsidP="004305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4FCE" w:rsidRDefault="00D14FCE" w:rsidP="00D14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  <w:r w:rsidRPr="00AB5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spellEnd"/>
          </w:p>
          <w:p w:rsidR="00430572" w:rsidRPr="00AB5657" w:rsidRDefault="00D14FCE" w:rsidP="00D14FC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  <w:r w:rsidR="00C306B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C963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C306BD">
              <w:rPr>
                <w:rFonts w:ascii="Times New Roman" w:hAnsi="Times New Roman" w:cs="Times New Roman"/>
                <w:sz w:val="16"/>
                <w:szCs w:val="16"/>
              </w:rPr>
              <w:t xml:space="preserve"> high</w:t>
            </w:r>
          </w:p>
        </w:tc>
      </w:tr>
    </w:tbl>
    <w:p w:rsidR="0072295C" w:rsidRPr="00200065" w:rsidRDefault="0072295C" w:rsidP="00200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295C" w:rsidRPr="00200065" w:rsidSect="00A5276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F2" w:rsidRDefault="00763CF2" w:rsidP="00CD7FF3">
      <w:pPr>
        <w:spacing w:after="0" w:line="240" w:lineRule="auto"/>
      </w:pPr>
      <w:r>
        <w:separator/>
      </w:r>
    </w:p>
  </w:endnote>
  <w:endnote w:type="continuationSeparator" w:id="0">
    <w:p w:rsidR="00763CF2" w:rsidRDefault="00763CF2" w:rsidP="00CD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F2" w:rsidRDefault="00763CF2" w:rsidP="00CD7FF3">
      <w:pPr>
        <w:spacing w:after="0" w:line="240" w:lineRule="auto"/>
      </w:pPr>
      <w:r>
        <w:separator/>
      </w:r>
    </w:p>
  </w:footnote>
  <w:footnote w:type="continuationSeparator" w:id="0">
    <w:p w:rsidR="00763CF2" w:rsidRDefault="00763CF2" w:rsidP="00CD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D3" w:rsidRDefault="00C873D3" w:rsidP="00C873D3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1216479" cy="495904"/>
          <wp:effectExtent l="19050" t="0" r="2721" b="0"/>
          <wp:docPr id="4" name="Picture 4" descr="P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320" cy="495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3D3" w:rsidRPr="00C873D3" w:rsidRDefault="00C873D3" w:rsidP="00C873D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873D3">
      <w:rPr>
        <w:rFonts w:ascii="Times New Roman" w:hAnsi="Times New Roman" w:cs="Times New Roman"/>
        <w:b/>
        <w:sz w:val="28"/>
        <w:szCs w:val="28"/>
      </w:rPr>
      <w:t>SAMPLE CLER PATHWAYS WORKSHEET</w:t>
    </w:r>
  </w:p>
  <w:p w:rsidR="00A5276C" w:rsidRDefault="00A52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7F4"/>
    <w:multiLevelType w:val="hybridMultilevel"/>
    <w:tmpl w:val="061CA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516395"/>
    <w:multiLevelType w:val="hybridMultilevel"/>
    <w:tmpl w:val="2FB24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8D4D94"/>
    <w:multiLevelType w:val="hybridMultilevel"/>
    <w:tmpl w:val="DBB40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607DD"/>
    <w:multiLevelType w:val="hybridMultilevel"/>
    <w:tmpl w:val="C5B2E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F0668D"/>
    <w:multiLevelType w:val="hybridMultilevel"/>
    <w:tmpl w:val="3D5AF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1C71"/>
    <w:rsid w:val="00081468"/>
    <w:rsid w:val="00200065"/>
    <w:rsid w:val="00290427"/>
    <w:rsid w:val="00296D64"/>
    <w:rsid w:val="00430572"/>
    <w:rsid w:val="0072295C"/>
    <w:rsid w:val="00744D13"/>
    <w:rsid w:val="00763CF2"/>
    <w:rsid w:val="007D0E0D"/>
    <w:rsid w:val="00A5276C"/>
    <w:rsid w:val="00AB5211"/>
    <w:rsid w:val="00AB5657"/>
    <w:rsid w:val="00C306BD"/>
    <w:rsid w:val="00C873D3"/>
    <w:rsid w:val="00C96330"/>
    <w:rsid w:val="00CB1C71"/>
    <w:rsid w:val="00CD7FF3"/>
    <w:rsid w:val="00D029BF"/>
    <w:rsid w:val="00D14FCE"/>
    <w:rsid w:val="00E2548D"/>
    <w:rsid w:val="00E4211D"/>
    <w:rsid w:val="00E83B4A"/>
    <w:rsid w:val="00EE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FF3"/>
  </w:style>
  <w:style w:type="paragraph" w:styleId="Footer">
    <w:name w:val="footer"/>
    <w:basedOn w:val="Normal"/>
    <w:link w:val="FooterChar"/>
    <w:uiPriority w:val="99"/>
    <w:semiHidden/>
    <w:unhideWhenUsed/>
    <w:rsid w:val="00CD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FF3"/>
  </w:style>
  <w:style w:type="paragraph" w:styleId="BalloonText">
    <w:name w:val="Balloon Text"/>
    <w:basedOn w:val="Normal"/>
    <w:link w:val="BalloonTextChar"/>
    <w:uiPriority w:val="99"/>
    <w:semiHidden/>
    <w:unhideWhenUsed/>
    <w:rsid w:val="00E4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2015-04-12T19:13:00Z</cp:lastPrinted>
  <dcterms:created xsi:type="dcterms:W3CDTF">2015-04-12T19:04:00Z</dcterms:created>
  <dcterms:modified xsi:type="dcterms:W3CDTF">2015-04-12T19:14:00Z</dcterms:modified>
</cp:coreProperties>
</file>