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3ACC" w14:textId="77777777" w:rsidR="00196AFD" w:rsidRDefault="00196AFD">
      <w:bookmarkStart w:id="0" w:name="_GoBack"/>
      <w:bookmarkEnd w:id="0"/>
      <w:r w:rsidRPr="00196AFD">
        <w:rPr>
          <w:noProof/>
        </w:rPr>
        <w:drawing>
          <wp:inline distT="0" distB="0" distL="0" distR="0" wp14:anchorId="6394DC85" wp14:editId="60DCB727">
            <wp:extent cx="2580862" cy="781050"/>
            <wp:effectExtent l="0" t="0" r="0" b="0"/>
            <wp:docPr id="1" name="Picture 1" descr="C:\Users\bj\Desktop\PMELogoNewWebsi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Desktop\PMELogoNewWebsit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037" cy="786248"/>
                    </a:xfrm>
                    <a:prstGeom prst="rect">
                      <a:avLst/>
                    </a:prstGeom>
                    <a:noFill/>
                    <a:ln>
                      <a:noFill/>
                    </a:ln>
                  </pic:spPr>
                </pic:pic>
              </a:graphicData>
            </a:graphic>
          </wp:inline>
        </w:drawing>
      </w:r>
    </w:p>
    <w:p w14:paraId="286E82D2" w14:textId="77777777" w:rsidR="00196AFD" w:rsidRDefault="00196AFD" w:rsidP="00196AFD">
      <w:pPr>
        <w:spacing w:after="0"/>
        <w:jc w:val="center"/>
        <w:rPr>
          <w:rFonts w:ascii="Arial" w:hAnsi="Arial" w:cs="Arial"/>
          <w:b/>
          <w:sz w:val="24"/>
        </w:rPr>
      </w:pPr>
      <w:r w:rsidRPr="00E84CE5">
        <w:rPr>
          <w:rFonts w:ascii="Arial" w:hAnsi="Arial" w:cs="Arial"/>
          <w:b/>
          <w:sz w:val="24"/>
        </w:rPr>
        <w:t xml:space="preserve">Partners® </w:t>
      </w:r>
      <w:r w:rsidR="002D036F" w:rsidRPr="00E84CE5">
        <w:rPr>
          <w:rFonts w:ascii="Arial" w:hAnsi="Arial" w:cs="Arial"/>
          <w:b/>
          <w:sz w:val="24"/>
        </w:rPr>
        <w:t>GME Data Resources</w:t>
      </w:r>
    </w:p>
    <w:p w14:paraId="329D7C8B" w14:textId="77777777" w:rsidR="00731156" w:rsidRPr="00E84CE5" w:rsidRDefault="00731156" w:rsidP="00196AFD">
      <w:pPr>
        <w:spacing w:after="0"/>
        <w:jc w:val="center"/>
        <w:rPr>
          <w:rFonts w:ascii="Arial" w:hAnsi="Arial" w:cs="Arial"/>
          <w:b/>
          <w:sz w:val="24"/>
        </w:rPr>
      </w:pPr>
    </w:p>
    <w:p w14:paraId="5EBFBA8F" w14:textId="77777777" w:rsidR="00731156" w:rsidRPr="00E84CE5" w:rsidRDefault="002D036F" w:rsidP="00E84CE5">
      <w:pPr>
        <w:jc w:val="both"/>
        <w:rPr>
          <w:noProof/>
          <w:sz w:val="24"/>
        </w:rPr>
      </w:pPr>
      <w:r w:rsidRPr="00E84CE5">
        <w:rPr>
          <w:noProof/>
          <w:sz w:val="24"/>
        </w:rPr>
        <w:t>Sources of GME data are all around us and readily available.  Use data to demonstrate oversight and compliance with ACGME requirements, for program and institutional improvement, and to understand GME processes and expectations.</w:t>
      </w:r>
    </w:p>
    <w:tbl>
      <w:tblPr>
        <w:tblStyle w:val="TableGrid"/>
        <w:tblW w:w="0" w:type="auto"/>
        <w:tblLook w:val="04A0" w:firstRow="1" w:lastRow="0" w:firstColumn="1" w:lastColumn="0" w:noHBand="0" w:noVBand="1"/>
      </w:tblPr>
      <w:tblGrid>
        <w:gridCol w:w="2496"/>
        <w:gridCol w:w="8294"/>
      </w:tblGrid>
      <w:tr w:rsidR="00BE6B5F" w14:paraId="45EC9612" w14:textId="77777777" w:rsidTr="00BE6B5F">
        <w:tc>
          <w:tcPr>
            <w:tcW w:w="10790" w:type="dxa"/>
            <w:gridSpan w:val="2"/>
          </w:tcPr>
          <w:p w14:paraId="7C64E686" w14:textId="77777777" w:rsidR="00BE6B5F" w:rsidRPr="0089419A" w:rsidRDefault="00E84CE5" w:rsidP="002D036F">
            <w:pPr>
              <w:rPr>
                <w:noProof/>
                <w:sz w:val="28"/>
                <w:szCs w:val="28"/>
              </w:rPr>
            </w:pPr>
            <w:r>
              <w:rPr>
                <w:noProof/>
                <w:sz w:val="28"/>
                <w:szCs w:val="28"/>
              </w:rPr>
              <w:t>ACGME Requirements</w:t>
            </w:r>
          </w:p>
        </w:tc>
      </w:tr>
      <w:tr w:rsidR="0089419A" w14:paraId="44D435FB" w14:textId="77777777" w:rsidTr="00BE6B5F">
        <w:tc>
          <w:tcPr>
            <w:tcW w:w="1615" w:type="dxa"/>
          </w:tcPr>
          <w:p w14:paraId="2045FFE4" w14:textId="77777777" w:rsidR="00BE6B5F" w:rsidRPr="0089419A" w:rsidRDefault="00BE6B5F" w:rsidP="002D036F">
            <w:pPr>
              <w:rPr>
                <w:noProof/>
                <w:sz w:val="28"/>
                <w:szCs w:val="28"/>
              </w:rPr>
            </w:pPr>
            <w:r w:rsidRPr="0089419A">
              <w:rPr>
                <w:noProof/>
                <w:sz w:val="28"/>
                <w:szCs w:val="28"/>
              </w:rPr>
              <w:drawing>
                <wp:anchor distT="0" distB="0" distL="114300" distR="114300" simplePos="0" relativeHeight="251659264" behindDoc="0" locked="0" layoutInCell="1" allowOverlap="1" wp14:anchorId="0E6B2F09" wp14:editId="40F813E8">
                  <wp:simplePos x="0" y="0"/>
                  <wp:positionH relativeFrom="column">
                    <wp:posOffset>356870</wp:posOffset>
                  </wp:positionH>
                  <wp:positionV relativeFrom="paragraph">
                    <wp:posOffset>286385</wp:posOffset>
                  </wp:positionV>
                  <wp:extent cx="650250" cy="65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icon-3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250" cy="650250"/>
                          </a:xfrm>
                          <a:prstGeom prst="rect">
                            <a:avLst/>
                          </a:prstGeom>
                        </pic:spPr>
                      </pic:pic>
                    </a:graphicData>
                  </a:graphic>
                </wp:anchor>
              </w:drawing>
            </w:r>
          </w:p>
        </w:tc>
        <w:tc>
          <w:tcPr>
            <w:tcW w:w="9175" w:type="dxa"/>
          </w:tcPr>
          <w:p w14:paraId="38768F04" w14:textId="77777777" w:rsidR="00BE6B5F" w:rsidRPr="0089419A" w:rsidRDefault="00BE6B5F" w:rsidP="00BE6B5F">
            <w:pPr>
              <w:pStyle w:val="ListParagraph"/>
              <w:numPr>
                <w:ilvl w:val="0"/>
                <w:numId w:val="16"/>
              </w:numPr>
              <w:rPr>
                <w:noProof/>
                <w:sz w:val="28"/>
                <w:szCs w:val="28"/>
              </w:rPr>
            </w:pPr>
            <w:r w:rsidRPr="0089419A">
              <w:rPr>
                <w:sz w:val="28"/>
                <w:szCs w:val="28"/>
              </w:rPr>
              <w:t>Foundation of all GME programs</w:t>
            </w:r>
          </w:p>
          <w:p w14:paraId="37596758" w14:textId="77777777" w:rsidR="00BE6B5F" w:rsidRPr="0089419A" w:rsidRDefault="00BE6B5F" w:rsidP="00BE6B5F">
            <w:pPr>
              <w:pStyle w:val="ListParagraph"/>
              <w:numPr>
                <w:ilvl w:val="0"/>
                <w:numId w:val="16"/>
              </w:numPr>
              <w:rPr>
                <w:sz w:val="28"/>
                <w:szCs w:val="28"/>
              </w:rPr>
            </w:pPr>
            <w:r w:rsidRPr="0089419A">
              <w:rPr>
                <w:sz w:val="28"/>
                <w:szCs w:val="28"/>
              </w:rPr>
              <w:t>Institutional, Common and Specialty Specific</w:t>
            </w:r>
          </w:p>
          <w:p w14:paraId="7BDE5B1B" w14:textId="77777777" w:rsidR="00BE6B5F" w:rsidRPr="0089419A" w:rsidRDefault="00BE6B5F" w:rsidP="00BE6B5F">
            <w:pPr>
              <w:pStyle w:val="ListParagraph"/>
              <w:numPr>
                <w:ilvl w:val="0"/>
                <w:numId w:val="16"/>
              </w:numPr>
              <w:rPr>
                <w:sz w:val="28"/>
                <w:szCs w:val="28"/>
              </w:rPr>
            </w:pPr>
            <w:r w:rsidRPr="0089419A">
              <w:rPr>
                <w:sz w:val="28"/>
                <w:szCs w:val="28"/>
              </w:rPr>
              <w:t>Educational, clinical and administrative expectations</w:t>
            </w:r>
          </w:p>
          <w:p w14:paraId="1C5A073B" w14:textId="77777777" w:rsidR="00BE6B5F" w:rsidRPr="0089419A" w:rsidRDefault="00BE6B5F" w:rsidP="00BE6B5F">
            <w:pPr>
              <w:pStyle w:val="ListParagraph"/>
              <w:numPr>
                <w:ilvl w:val="0"/>
                <w:numId w:val="16"/>
              </w:numPr>
              <w:rPr>
                <w:noProof/>
                <w:sz w:val="28"/>
                <w:szCs w:val="28"/>
              </w:rPr>
            </w:pPr>
            <w:r w:rsidRPr="0089419A">
              <w:rPr>
                <w:sz w:val="28"/>
                <w:szCs w:val="28"/>
              </w:rPr>
              <w:t>Read the requirements, know the requirement, live the requirements</w:t>
            </w:r>
          </w:p>
        </w:tc>
      </w:tr>
      <w:tr w:rsidR="00BE6B5F" w14:paraId="3816CF05" w14:textId="77777777" w:rsidTr="00E72EB4">
        <w:tc>
          <w:tcPr>
            <w:tcW w:w="10790" w:type="dxa"/>
            <w:gridSpan w:val="2"/>
          </w:tcPr>
          <w:p w14:paraId="1C27A5F8" w14:textId="77777777" w:rsidR="00BE6B5F" w:rsidRPr="0089419A" w:rsidRDefault="00BE6B5F" w:rsidP="00BE6B5F">
            <w:pPr>
              <w:pStyle w:val="ListParagraph"/>
              <w:ind w:left="0"/>
              <w:rPr>
                <w:sz w:val="28"/>
                <w:szCs w:val="28"/>
              </w:rPr>
            </w:pPr>
            <w:r w:rsidRPr="0089419A">
              <w:rPr>
                <w:sz w:val="28"/>
                <w:szCs w:val="28"/>
              </w:rPr>
              <w:t>ACGME Letters of Notification</w:t>
            </w:r>
          </w:p>
        </w:tc>
      </w:tr>
      <w:tr w:rsidR="00731156" w14:paraId="5932A4CF" w14:textId="77777777" w:rsidTr="00BE6B5F">
        <w:tc>
          <w:tcPr>
            <w:tcW w:w="1615" w:type="dxa"/>
          </w:tcPr>
          <w:p w14:paraId="5E10C7EF" w14:textId="77777777" w:rsidR="00BE6B5F" w:rsidRPr="0089419A" w:rsidRDefault="00481268" w:rsidP="002D036F">
            <w:pPr>
              <w:rPr>
                <w:noProof/>
                <w:sz w:val="28"/>
                <w:szCs w:val="28"/>
              </w:rPr>
            </w:pPr>
            <w:r w:rsidRPr="0089419A">
              <w:rPr>
                <w:noProof/>
                <w:sz w:val="28"/>
                <w:szCs w:val="28"/>
              </w:rPr>
              <w:drawing>
                <wp:anchor distT="0" distB="0" distL="114300" distR="114300" simplePos="0" relativeHeight="251658240" behindDoc="0" locked="0" layoutInCell="1" allowOverlap="1" wp14:anchorId="0820887F" wp14:editId="6321221D">
                  <wp:simplePos x="0" y="0"/>
                  <wp:positionH relativeFrom="column">
                    <wp:posOffset>261620</wp:posOffset>
                  </wp:positionH>
                  <wp:positionV relativeFrom="paragraph">
                    <wp:posOffset>310515</wp:posOffset>
                  </wp:positionV>
                  <wp:extent cx="709295" cy="7385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ikh-tuhin-notes-3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38505"/>
                          </a:xfrm>
                          <a:prstGeom prst="rect">
                            <a:avLst/>
                          </a:prstGeom>
                        </pic:spPr>
                      </pic:pic>
                    </a:graphicData>
                  </a:graphic>
                  <wp14:sizeRelH relativeFrom="margin">
                    <wp14:pctWidth>0</wp14:pctWidth>
                  </wp14:sizeRelH>
                  <wp14:sizeRelV relativeFrom="margin">
                    <wp14:pctHeight>0</wp14:pctHeight>
                  </wp14:sizeRelV>
                </wp:anchor>
              </w:drawing>
            </w:r>
          </w:p>
        </w:tc>
        <w:tc>
          <w:tcPr>
            <w:tcW w:w="9175" w:type="dxa"/>
          </w:tcPr>
          <w:p w14:paraId="44D302DA" w14:textId="77777777" w:rsidR="00BE6B5F" w:rsidRPr="0089419A" w:rsidRDefault="00BE6B5F" w:rsidP="00BE6B5F">
            <w:pPr>
              <w:pStyle w:val="ListParagraph"/>
              <w:numPr>
                <w:ilvl w:val="0"/>
                <w:numId w:val="16"/>
              </w:numPr>
              <w:rPr>
                <w:sz w:val="28"/>
                <w:szCs w:val="28"/>
              </w:rPr>
            </w:pPr>
            <w:r w:rsidRPr="0089419A">
              <w:rPr>
                <w:sz w:val="28"/>
                <w:szCs w:val="28"/>
              </w:rPr>
              <w:t>Annual notification of accreditation status</w:t>
            </w:r>
          </w:p>
          <w:p w14:paraId="6E2135AA" w14:textId="77777777" w:rsidR="00BE6B5F" w:rsidRPr="0089419A" w:rsidRDefault="00BE6B5F" w:rsidP="00BE6B5F">
            <w:pPr>
              <w:pStyle w:val="ListParagraph"/>
              <w:numPr>
                <w:ilvl w:val="0"/>
                <w:numId w:val="16"/>
              </w:numPr>
              <w:rPr>
                <w:sz w:val="28"/>
                <w:szCs w:val="28"/>
              </w:rPr>
            </w:pPr>
            <w:r w:rsidRPr="0089419A">
              <w:rPr>
                <w:sz w:val="28"/>
                <w:szCs w:val="28"/>
              </w:rPr>
              <w:t>Provides information on programs ability to meet ACGME requirements</w:t>
            </w:r>
          </w:p>
          <w:p w14:paraId="0B14BE1C" w14:textId="77777777" w:rsidR="00BE6B5F" w:rsidRPr="0089419A" w:rsidRDefault="00BE6B5F" w:rsidP="00BE6B5F">
            <w:pPr>
              <w:pStyle w:val="ListParagraph"/>
              <w:numPr>
                <w:ilvl w:val="0"/>
                <w:numId w:val="16"/>
              </w:numPr>
              <w:rPr>
                <w:sz w:val="28"/>
                <w:szCs w:val="28"/>
              </w:rPr>
            </w:pPr>
            <w:r w:rsidRPr="0089419A">
              <w:rPr>
                <w:sz w:val="28"/>
                <w:szCs w:val="28"/>
              </w:rPr>
              <w:t>Citations, Areas for Improvement and Commendations</w:t>
            </w:r>
          </w:p>
          <w:p w14:paraId="35CDFBAF" w14:textId="77777777" w:rsidR="00BE6B5F" w:rsidRPr="0089419A" w:rsidRDefault="00BE6B5F" w:rsidP="00BE6B5F">
            <w:pPr>
              <w:pStyle w:val="ListParagraph"/>
              <w:numPr>
                <w:ilvl w:val="0"/>
                <w:numId w:val="16"/>
              </w:numPr>
              <w:rPr>
                <w:sz w:val="28"/>
                <w:szCs w:val="28"/>
              </w:rPr>
            </w:pPr>
            <w:r w:rsidRPr="0089419A">
              <w:rPr>
                <w:sz w:val="28"/>
                <w:szCs w:val="28"/>
              </w:rPr>
              <w:t>Confirms self-study date</w:t>
            </w:r>
          </w:p>
          <w:p w14:paraId="3A3D354D" w14:textId="77777777" w:rsidR="00BE6B5F" w:rsidRPr="0089419A" w:rsidRDefault="00BE6B5F" w:rsidP="00BE6B5F">
            <w:pPr>
              <w:pStyle w:val="ListParagraph"/>
              <w:numPr>
                <w:ilvl w:val="0"/>
                <w:numId w:val="16"/>
              </w:numPr>
              <w:rPr>
                <w:sz w:val="28"/>
                <w:szCs w:val="28"/>
              </w:rPr>
            </w:pPr>
            <w:r w:rsidRPr="0089419A">
              <w:rPr>
                <w:sz w:val="28"/>
                <w:szCs w:val="28"/>
              </w:rPr>
              <w:t>Review, analyze, track and use for special review trigger</w:t>
            </w:r>
          </w:p>
        </w:tc>
      </w:tr>
      <w:tr w:rsidR="00BE6B5F" w14:paraId="49758430" w14:textId="77777777" w:rsidTr="00DE113A">
        <w:tc>
          <w:tcPr>
            <w:tcW w:w="10790" w:type="dxa"/>
            <w:gridSpan w:val="2"/>
          </w:tcPr>
          <w:p w14:paraId="06E9913D" w14:textId="77777777" w:rsidR="00BE6B5F" w:rsidRPr="0089419A" w:rsidRDefault="00BE6B5F" w:rsidP="00BE6B5F">
            <w:pPr>
              <w:rPr>
                <w:sz w:val="28"/>
                <w:szCs w:val="28"/>
              </w:rPr>
            </w:pPr>
            <w:r w:rsidRPr="0089419A">
              <w:rPr>
                <w:sz w:val="28"/>
                <w:szCs w:val="28"/>
              </w:rPr>
              <w:t>ACGME Resident and Faculty Surveys</w:t>
            </w:r>
          </w:p>
        </w:tc>
      </w:tr>
      <w:tr w:rsidR="00731156" w14:paraId="3E46CB1C" w14:textId="77777777" w:rsidTr="00BE6B5F">
        <w:tc>
          <w:tcPr>
            <w:tcW w:w="1615" w:type="dxa"/>
          </w:tcPr>
          <w:p w14:paraId="3C5CF3AA" w14:textId="77777777" w:rsidR="00BE6B5F" w:rsidRPr="0089419A" w:rsidRDefault="00481268" w:rsidP="002D036F">
            <w:pPr>
              <w:rPr>
                <w:noProof/>
                <w:sz w:val="28"/>
                <w:szCs w:val="28"/>
              </w:rPr>
            </w:pPr>
            <w:r w:rsidRPr="0089419A">
              <w:rPr>
                <w:noProof/>
                <w:sz w:val="28"/>
                <w:szCs w:val="28"/>
              </w:rPr>
              <w:drawing>
                <wp:anchor distT="0" distB="0" distL="114300" distR="114300" simplePos="0" relativeHeight="251663360" behindDoc="0" locked="0" layoutInCell="1" allowOverlap="1" wp14:anchorId="0926924C" wp14:editId="27C72655">
                  <wp:simplePos x="0" y="0"/>
                  <wp:positionH relativeFrom="column">
                    <wp:posOffset>109220</wp:posOffset>
                  </wp:positionH>
                  <wp:positionV relativeFrom="paragraph">
                    <wp:posOffset>152400</wp:posOffset>
                  </wp:positionV>
                  <wp:extent cx="1047750" cy="1047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Survey-Icon-or-logo-30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tc>
        <w:tc>
          <w:tcPr>
            <w:tcW w:w="9175" w:type="dxa"/>
          </w:tcPr>
          <w:p w14:paraId="54FC8C82" w14:textId="77777777" w:rsidR="00BE6B5F" w:rsidRPr="0089419A" w:rsidRDefault="00BE6B5F" w:rsidP="00BE6B5F">
            <w:pPr>
              <w:pStyle w:val="ListParagraph"/>
              <w:numPr>
                <w:ilvl w:val="0"/>
                <w:numId w:val="16"/>
              </w:numPr>
              <w:rPr>
                <w:sz w:val="28"/>
                <w:szCs w:val="28"/>
              </w:rPr>
            </w:pPr>
            <w:r w:rsidRPr="0089419A">
              <w:rPr>
                <w:sz w:val="28"/>
                <w:szCs w:val="28"/>
              </w:rPr>
              <w:t>Feedback on program quality including educational content, supervision, faculty, evaluation and resources</w:t>
            </w:r>
          </w:p>
          <w:p w14:paraId="77A74990" w14:textId="77777777" w:rsidR="00BE6B5F" w:rsidRPr="0089419A" w:rsidRDefault="00BE6B5F" w:rsidP="00BE6B5F">
            <w:pPr>
              <w:pStyle w:val="ListParagraph"/>
              <w:numPr>
                <w:ilvl w:val="0"/>
                <w:numId w:val="16"/>
              </w:numPr>
              <w:rPr>
                <w:sz w:val="28"/>
                <w:szCs w:val="28"/>
              </w:rPr>
            </w:pPr>
            <w:r w:rsidRPr="0089419A">
              <w:rPr>
                <w:sz w:val="28"/>
                <w:szCs w:val="28"/>
              </w:rPr>
              <w:t>Comparable to institutional and national benchmarks</w:t>
            </w:r>
          </w:p>
          <w:p w14:paraId="67BE208E" w14:textId="77777777" w:rsidR="00BE6B5F" w:rsidRPr="0089419A" w:rsidRDefault="00BE6B5F" w:rsidP="00BE6B5F">
            <w:pPr>
              <w:pStyle w:val="ListParagraph"/>
              <w:numPr>
                <w:ilvl w:val="0"/>
                <w:numId w:val="16"/>
              </w:numPr>
              <w:rPr>
                <w:sz w:val="28"/>
                <w:szCs w:val="28"/>
              </w:rPr>
            </w:pPr>
            <w:r w:rsidRPr="0089419A">
              <w:rPr>
                <w:sz w:val="28"/>
                <w:szCs w:val="28"/>
              </w:rPr>
              <w:t>Three-year trend analysis</w:t>
            </w:r>
          </w:p>
          <w:p w14:paraId="03F3E28C" w14:textId="77777777" w:rsidR="00BE6B5F" w:rsidRPr="0089419A" w:rsidRDefault="00BE6B5F" w:rsidP="00BE6B5F">
            <w:pPr>
              <w:pStyle w:val="ListParagraph"/>
              <w:numPr>
                <w:ilvl w:val="0"/>
                <w:numId w:val="16"/>
              </w:numPr>
              <w:rPr>
                <w:sz w:val="28"/>
                <w:szCs w:val="28"/>
              </w:rPr>
            </w:pPr>
            <w:r w:rsidRPr="0089419A">
              <w:rPr>
                <w:sz w:val="28"/>
                <w:szCs w:val="28"/>
              </w:rPr>
              <w:t>Review, analyze, track and use for program improvement and special review trigger</w:t>
            </w:r>
          </w:p>
        </w:tc>
      </w:tr>
      <w:tr w:rsidR="00BE6B5F" w14:paraId="13A6A45B" w14:textId="77777777" w:rsidTr="00270FFD">
        <w:tc>
          <w:tcPr>
            <w:tcW w:w="10790" w:type="dxa"/>
            <w:gridSpan w:val="2"/>
          </w:tcPr>
          <w:p w14:paraId="3CEAB821" w14:textId="77777777" w:rsidR="00BE6B5F" w:rsidRPr="0089419A" w:rsidRDefault="00BE6B5F" w:rsidP="00BE6B5F">
            <w:pPr>
              <w:rPr>
                <w:sz w:val="28"/>
              </w:rPr>
            </w:pPr>
            <w:r w:rsidRPr="0089419A">
              <w:rPr>
                <w:sz w:val="28"/>
              </w:rPr>
              <w:t>Annual Program Evaluations (APE)</w:t>
            </w:r>
          </w:p>
        </w:tc>
      </w:tr>
      <w:tr w:rsidR="00731156" w14:paraId="66F048C5" w14:textId="77777777" w:rsidTr="00BE6B5F">
        <w:tc>
          <w:tcPr>
            <w:tcW w:w="1615" w:type="dxa"/>
          </w:tcPr>
          <w:p w14:paraId="7AFBECC7" w14:textId="77777777" w:rsidR="00BE6B5F" w:rsidRPr="0089419A" w:rsidRDefault="00E84CE5" w:rsidP="002D036F">
            <w:pPr>
              <w:rPr>
                <w:noProof/>
                <w:sz w:val="28"/>
              </w:rPr>
            </w:pPr>
            <w:r>
              <w:rPr>
                <w:noProof/>
                <w:sz w:val="28"/>
              </w:rPr>
              <w:drawing>
                <wp:anchor distT="0" distB="0" distL="114300" distR="114300" simplePos="0" relativeHeight="251667456" behindDoc="0" locked="0" layoutInCell="1" allowOverlap="1" wp14:anchorId="1E16519D" wp14:editId="5945B97E">
                  <wp:simplePos x="0" y="0"/>
                  <wp:positionH relativeFrom="column">
                    <wp:posOffset>252095</wp:posOffset>
                  </wp:positionH>
                  <wp:positionV relativeFrom="paragraph">
                    <wp:posOffset>133350</wp:posOffset>
                  </wp:positionV>
                  <wp:extent cx="764790" cy="968089"/>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riankierman-report-page-3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4790" cy="968089"/>
                          </a:xfrm>
                          <a:prstGeom prst="rect">
                            <a:avLst/>
                          </a:prstGeom>
                        </pic:spPr>
                      </pic:pic>
                    </a:graphicData>
                  </a:graphic>
                </wp:anchor>
              </w:drawing>
            </w:r>
          </w:p>
        </w:tc>
        <w:tc>
          <w:tcPr>
            <w:tcW w:w="9175" w:type="dxa"/>
          </w:tcPr>
          <w:p w14:paraId="2DB79790" w14:textId="77777777" w:rsidR="00BE6B5F" w:rsidRPr="0089419A" w:rsidRDefault="00BE6B5F" w:rsidP="00BE6B5F">
            <w:pPr>
              <w:pStyle w:val="ListParagraph"/>
              <w:numPr>
                <w:ilvl w:val="0"/>
                <w:numId w:val="16"/>
              </w:numPr>
              <w:rPr>
                <w:sz w:val="28"/>
              </w:rPr>
            </w:pPr>
            <w:r w:rsidRPr="0089419A">
              <w:rPr>
                <w:sz w:val="28"/>
              </w:rPr>
              <w:t>In-depth, annual self-assessment of program</w:t>
            </w:r>
          </w:p>
          <w:p w14:paraId="773E4028" w14:textId="77777777" w:rsidR="00BE6B5F" w:rsidRPr="0089419A" w:rsidRDefault="00BE6B5F" w:rsidP="00BE6B5F">
            <w:pPr>
              <w:pStyle w:val="ListParagraph"/>
              <w:numPr>
                <w:ilvl w:val="0"/>
                <w:numId w:val="16"/>
              </w:numPr>
              <w:rPr>
                <w:sz w:val="28"/>
              </w:rPr>
            </w:pPr>
            <w:r w:rsidRPr="0089419A">
              <w:rPr>
                <w:sz w:val="28"/>
              </w:rPr>
              <w:t>Designed for program improvement opportunity</w:t>
            </w:r>
          </w:p>
          <w:p w14:paraId="2A303E5C" w14:textId="77777777" w:rsidR="00BE6B5F" w:rsidRPr="0089419A" w:rsidRDefault="00BE6B5F" w:rsidP="00BE6B5F">
            <w:pPr>
              <w:pStyle w:val="ListParagraph"/>
              <w:numPr>
                <w:ilvl w:val="0"/>
                <w:numId w:val="16"/>
              </w:numPr>
              <w:rPr>
                <w:sz w:val="28"/>
              </w:rPr>
            </w:pPr>
            <w:r w:rsidRPr="0089419A">
              <w:rPr>
                <w:sz w:val="28"/>
              </w:rPr>
              <w:t>Templated to capture required data</w:t>
            </w:r>
          </w:p>
          <w:p w14:paraId="17D524C5" w14:textId="77777777" w:rsidR="00BE6B5F" w:rsidRPr="0089419A" w:rsidRDefault="00BE6B5F" w:rsidP="00481268">
            <w:pPr>
              <w:pStyle w:val="ListParagraph"/>
              <w:numPr>
                <w:ilvl w:val="0"/>
                <w:numId w:val="16"/>
              </w:numPr>
              <w:rPr>
                <w:sz w:val="28"/>
              </w:rPr>
            </w:pPr>
            <w:r w:rsidRPr="0089419A">
              <w:rPr>
                <w:sz w:val="28"/>
              </w:rPr>
              <w:t>Review, analyze, track and use for program improvement and special review trigger</w:t>
            </w:r>
          </w:p>
        </w:tc>
      </w:tr>
      <w:tr w:rsidR="00BE6B5F" w14:paraId="35E995BE" w14:textId="77777777" w:rsidTr="00FE6738">
        <w:tc>
          <w:tcPr>
            <w:tcW w:w="10790" w:type="dxa"/>
            <w:gridSpan w:val="2"/>
          </w:tcPr>
          <w:p w14:paraId="2B24980B" w14:textId="77777777" w:rsidR="00BE6B5F" w:rsidRPr="0089419A" w:rsidRDefault="00BE6B5F" w:rsidP="00BE6B5F">
            <w:pPr>
              <w:rPr>
                <w:sz w:val="28"/>
                <w:szCs w:val="28"/>
              </w:rPr>
            </w:pPr>
            <w:r w:rsidRPr="0089419A">
              <w:rPr>
                <w:sz w:val="28"/>
                <w:szCs w:val="28"/>
              </w:rPr>
              <w:lastRenderedPageBreak/>
              <w:t>ACGME Self-Study</w:t>
            </w:r>
          </w:p>
        </w:tc>
      </w:tr>
      <w:tr w:rsidR="00731156" w14:paraId="1D5055DE" w14:textId="77777777" w:rsidTr="00BE6B5F">
        <w:tc>
          <w:tcPr>
            <w:tcW w:w="1615" w:type="dxa"/>
          </w:tcPr>
          <w:p w14:paraId="5D227941" w14:textId="77777777" w:rsidR="00BE6B5F" w:rsidRPr="0089419A" w:rsidRDefault="0089419A" w:rsidP="002D036F">
            <w:pPr>
              <w:rPr>
                <w:noProof/>
                <w:sz w:val="28"/>
                <w:szCs w:val="28"/>
              </w:rPr>
            </w:pPr>
            <w:r w:rsidRPr="0089419A">
              <w:rPr>
                <w:noProof/>
                <w:sz w:val="28"/>
                <w:szCs w:val="28"/>
              </w:rPr>
              <w:drawing>
                <wp:anchor distT="0" distB="0" distL="114300" distR="114300" simplePos="0" relativeHeight="251661312" behindDoc="0" locked="0" layoutInCell="1" allowOverlap="1" wp14:anchorId="62E9FF39" wp14:editId="45F10F7D">
                  <wp:simplePos x="0" y="0"/>
                  <wp:positionH relativeFrom="column">
                    <wp:posOffset>318770</wp:posOffset>
                  </wp:positionH>
                  <wp:positionV relativeFrom="paragraph">
                    <wp:posOffset>190500</wp:posOffset>
                  </wp:positionV>
                  <wp:extent cx="670264" cy="88189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ror-300p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64" cy="881893"/>
                          </a:xfrm>
                          <a:prstGeom prst="rect">
                            <a:avLst/>
                          </a:prstGeom>
                        </pic:spPr>
                      </pic:pic>
                    </a:graphicData>
                  </a:graphic>
                </wp:anchor>
              </w:drawing>
            </w:r>
          </w:p>
        </w:tc>
        <w:tc>
          <w:tcPr>
            <w:tcW w:w="9175" w:type="dxa"/>
          </w:tcPr>
          <w:p w14:paraId="0E92ADA6" w14:textId="77777777" w:rsidR="00BE6B5F" w:rsidRPr="0089419A" w:rsidRDefault="00BE6B5F" w:rsidP="00BE6B5F">
            <w:pPr>
              <w:pStyle w:val="ListParagraph"/>
              <w:numPr>
                <w:ilvl w:val="0"/>
                <w:numId w:val="16"/>
              </w:numPr>
              <w:rPr>
                <w:sz w:val="28"/>
                <w:szCs w:val="28"/>
              </w:rPr>
            </w:pPr>
            <w:r w:rsidRPr="0089419A">
              <w:rPr>
                <w:sz w:val="28"/>
                <w:szCs w:val="28"/>
              </w:rPr>
              <w:t>In-depth, 10-year self-assessment of program or institution</w:t>
            </w:r>
          </w:p>
          <w:p w14:paraId="2C1C7686" w14:textId="77777777" w:rsidR="00BE6B5F" w:rsidRPr="0089419A" w:rsidRDefault="00BE6B5F" w:rsidP="00BE6B5F">
            <w:pPr>
              <w:pStyle w:val="ListParagraph"/>
              <w:numPr>
                <w:ilvl w:val="0"/>
                <w:numId w:val="16"/>
              </w:numPr>
              <w:rPr>
                <w:sz w:val="28"/>
                <w:szCs w:val="28"/>
              </w:rPr>
            </w:pPr>
            <w:r w:rsidRPr="0089419A">
              <w:rPr>
                <w:sz w:val="28"/>
                <w:szCs w:val="28"/>
              </w:rPr>
              <w:t>Designed to link APE, or AIR, with program aims and improvement</w:t>
            </w:r>
          </w:p>
          <w:p w14:paraId="5AFBB584" w14:textId="77777777" w:rsidR="00BE6B5F" w:rsidRPr="0089419A" w:rsidRDefault="00BE6B5F" w:rsidP="00BE6B5F">
            <w:pPr>
              <w:pStyle w:val="ListParagraph"/>
              <w:numPr>
                <w:ilvl w:val="0"/>
                <w:numId w:val="16"/>
              </w:numPr>
              <w:rPr>
                <w:sz w:val="28"/>
                <w:szCs w:val="28"/>
              </w:rPr>
            </w:pPr>
            <w:r w:rsidRPr="0089419A">
              <w:rPr>
                <w:sz w:val="28"/>
                <w:szCs w:val="28"/>
              </w:rPr>
              <w:t>Templated to capture required data</w:t>
            </w:r>
          </w:p>
          <w:p w14:paraId="056F63B2" w14:textId="77777777" w:rsidR="0089419A" w:rsidRPr="0089419A" w:rsidRDefault="00BE6B5F" w:rsidP="0089419A">
            <w:pPr>
              <w:pStyle w:val="ListParagraph"/>
              <w:numPr>
                <w:ilvl w:val="0"/>
                <w:numId w:val="16"/>
              </w:numPr>
              <w:rPr>
                <w:sz w:val="28"/>
                <w:szCs w:val="28"/>
              </w:rPr>
            </w:pPr>
            <w:r w:rsidRPr="0089419A">
              <w:rPr>
                <w:sz w:val="28"/>
                <w:szCs w:val="28"/>
              </w:rPr>
              <w:t>Review, analyze, track and use for program improvement</w:t>
            </w:r>
          </w:p>
        </w:tc>
      </w:tr>
      <w:tr w:rsidR="00BE6B5F" w14:paraId="0F6D8400" w14:textId="77777777" w:rsidTr="000B6CF2">
        <w:tc>
          <w:tcPr>
            <w:tcW w:w="10790" w:type="dxa"/>
            <w:gridSpan w:val="2"/>
          </w:tcPr>
          <w:p w14:paraId="2DFAF3F3" w14:textId="77777777" w:rsidR="00BE6B5F" w:rsidRPr="0089419A" w:rsidRDefault="00BE6B5F" w:rsidP="00BE6B5F">
            <w:pPr>
              <w:rPr>
                <w:sz w:val="28"/>
                <w:szCs w:val="28"/>
              </w:rPr>
            </w:pPr>
            <w:r w:rsidRPr="0089419A">
              <w:rPr>
                <w:sz w:val="28"/>
                <w:szCs w:val="28"/>
              </w:rPr>
              <w:t>ACGME Clinical Learning Environment Review (CLER)</w:t>
            </w:r>
          </w:p>
        </w:tc>
      </w:tr>
      <w:tr w:rsidR="00731156" w14:paraId="37094FE9" w14:textId="77777777" w:rsidTr="00BE6B5F">
        <w:tc>
          <w:tcPr>
            <w:tcW w:w="1615" w:type="dxa"/>
          </w:tcPr>
          <w:p w14:paraId="776DBBDA" w14:textId="77777777" w:rsidR="00BE6B5F" w:rsidRPr="0089419A" w:rsidRDefault="00481268" w:rsidP="002D036F">
            <w:pPr>
              <w:rPr>
                <w:noProof/>
                <w:sz w:val="28"/>
                <w:szCs w:val="28"/>
              </w:rPr>
            </w:pPr>
            <w:r w:rsidRPr="0089419A">
              <w:rPr>
                <w:noProof/>
                <w:sz w:val="28"/>
                <w:szCs w:val="28"/>
              </w:rPr>
              <w:drawing>
                <wp:anchor distT="0" distB="0" distL="114300" distR="114300" simplePos="0" relativeHeight="251664384" behindDoc="0" locked="0" layoutInCell="1" allowOverlap="1" wp14:anchorId="4BEC09D3" wp14:editId="3941AE35">
                  <wp:simplePos x="0" y="0"/>
                  <wp:positionH relativeFrom="column">
                    <wp:posOffset>-65405</wp:posOffset>
                  </wp:positionH>
                  <wp:positionV relativeFrom="paragraph">
                    <wp:posOffset>316230</wp:posOffset>
                  </wp:positionV>
                  <wp:extent cx="1438275" cy="10737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ingClass-300px.png"/>
                          <pic:cNvPicPr/>
                        </pic:nvPicPr>
                        <pic:blipFill>
                          <a:blip r:embed="rId14">
                            <a:extLst>
                              <a:ext uri="{28A0092B-C50C-407E-A947-70E740481C1C}">
                                <a14:useLocalDpi xmlns:a14="http://schemas.microsoft.com/office/drawing/2010/main" val="0"/>
                              </a:ext>
                            </a:extLst>
                          </a:blip>
                          <a:stretch>
                            <a:fillRect/>
                          </a:stretch>
                        </pic:blipFill>
                        <pic:spPr>
                          <a:xfrm>
                            <a:off x="0" y="0"/>
                            <a:ext cx="1438275" cy="1073785"/>
                          </a:xfrm>
                          <a:prstGeom prst="rect">
                            <a:avLst/>
                          </a:prstGeom>
                        </pic:spPr>
                      </pic:pic>
                    </a:graphicData>
                  </a:graphic>
                  <wp14:sizeRelH relativeFrom="margin">
                    <wp14:pctWidth>0</wp14:pctWidth>
                  </wp14:sizeRelH>
                  <wp14:sizeRelV relativeFrom="margin">
                    <wp14:pctHeight>0</wp14:pctHeight>
                  </wp14:sizeRelV>
                </wp:anchor>
              </w:drawing>
            </w:r>
          </w:p>
        </w:tc>
        <w:tc>
          <w:tcPr>
            <w:tcW w:w="9175" w:type="dxa"/>
          </w:tcPr>
          <w:p w14:paraId="47CCA1D1" w14:textId="77777777" w:rsidR="00BE6B5F" w:rsidRPr="0089419A" w:rsidRDefault="00BE6B5F" w:rsidP="00BE6B5F">
            <w:pPr>
              <w:pStyle w:val="ListParagraph"/>
              <w:numPr>
                <w:ilvl w:val="0"/>
                <w:numId w:val="16"/>
              </w:numPr>
              <w:rPr>
                <w:sz w:val="28"/>
                <w:szCs w:val="28"/>
              </w:rPr>
            </w:pPr>
            <w:r w:rsidRPr="0089419A">
              <w:rPr>
                <w:sz w:val="28"/>
                <w:szCs w:val="28"/>
              </w:rPr>
              <w:t>Assessment of the clinical and learning environment of sponsoring institutions</w:t>
            </w:r>
          </w:p>
          <w:p w14:paraId="1068A014" w14:textId="77777777" w:rsidR="00BE6B5F" w:rsidRPr="0089419A" w:rsidRDefault="00BE6B5F" w:rsidP="00BE6B5F">
            <w:pPr>
              <w:pStyle w:val="ListParagraph"/>
              <w:numPr>
                <w:ilvl w:val="0"/>
                <w:numId w:val="16"/>
              </w:numPr>
              <w:rPr>
                <w:sz w:val="28"/>
                <w:szCs w:val="28"/>
              </w:rPr>
            </w:pPr>
            <w:r w:rsidRPr="0089419A">
              <w:rPr>
                <w:sz w:val="28"/>
                <w:szCs w:val="28"/>
              </w:rPr>
              <w:t>Developed to provide data on patient safety, health care quality, care transitions, supervision and duty hours, fatigue management and mitigation</w:t>
            </w:r>
          </w:p>
          <w:p w14:paraId="18D1C7E1" w14:textId="77777777" w:rsidR="00BE6B5F" w:rsidRPr="0089419A" w:rsidRDefault="00BE6B5F" w:rsidP="00BE6B5F">
            <w:pPr>
              <w:pStyle w:val="ListParagraph"/>
              <w:numPr>
                <w:ilvl w:val="0"/>
                <w:numId w:val="16"/>
              </w:numPr>
              <w:rPr>
                <w:sz w:val="28"/>
                <w:szCs w:val="28"/>
              </w:rPr>
            </w:pPr>
            <w:r w:rsidRPr="0089419A">
              <w:rPr>
                <w:sz w:val="28"/>
                <w:szCs w:val="28"/>
              </w:rPr>
              <w:t xml:space="preserve">National aggregate data available for comparison </w:t>
            </w:r>
          </w:p>
          <w:p w14:paraId="42EDC773" w14:textId="77777777" w:rsidR="00BE6B5F" w:rsidRPr="0089419A" w:rsidRDefault="00BE6B5F" w:rsidP="00BE6B5F">
            <w:pPr>
              <w:pStyle w:val="ListParagraph"/>
              <w:numPr>
                <w:ilvl w:val="0"/>
                <w:numId w:val="16"/>
              </w:numPr>
              <w:rPr>
                <w:sz w:val="28"/>
                <w:szCs w:val="28"/>
              </w:rPr>
            </w:pPr>
            <w:r w:rsidRPr="0089419A">
              <w:rPr>
                <w:sz w:val="28"/>
                <w:szCs w:val="28"/>
              </w:rPr>
              <w:t>Review, analyze, track and use for program and institution improvement</w:t>
            </w:r>
          </w:p>
        </w:tc>
      </w:tr>
      <w:tr w:rsidR="00BE6B5F" w14:paraId="1511D150" w14:textId="77777777" w:rsidTr="007819F0">
        <w:tc>
          <w:tcPr>
            <w:tcW w:w="10790" w:type="dxa"/>
            <w:gridSpan w:val="2"/>
          </w:tcPr>
          <w:p w14:paraId="7B4B5BE8" w14:textId="77777777" w:rsidR="00BE6B5F" w:rsidRPr="0089419A" w:rsidRDefault="00BE6B5F" w:rsidP="00BE6B5F">
            <w:pPr>
              <w:rPr>
                <w:sz w:val="28"/>
                <w:szCs w:val="28"/>
              </w:rPr>
            </w:pPr>
            <w:r w:rsidRPr="0089419A">
              <w:rPr>
                <w:sz w:val="28"/>
                <w:szCs w:val="28"/>
              </w:rPr>
              <w:t>Annual Institutional Review (AIR)</w:t>
            </w:r>
          </w:p>
        </w:tc>
      </w:tr>
      <w:tr w:rsidR="00731156" w14:paraId="240CB41E" w14:textId="77777777" w:rsidTr="00BE6B5F">
        <w:tc>
          <w:tcPr>
            <w:tcW w:w="1615" w:type="dxa"/>
          </w:tcPr>
          <w:p w14:paraId="6797B19E" w14:textId="77777777" w:rsidR="00BE6B5F" w:rsidRPr="0089419A" w:rsidRDefault="0089419A" w:rsidP="002D036F">
            <w:pPr>
              <w:rPr>
                <w:noProof/>
                <w:sz w:val="28"/>
                <w:szCs w:val="28"/>
              </w:rPr>
            </w:pPr>
            <w:r w:rsidRPr="0089419A">
              <w:rPr>
                <w:noProof/>
                <w:sz w:val="28"/>
                <w:szCs w:val="28"/>
              </w:rPr>
              <w:drawing>
                <wp:anchor distT="0" distB="0" distL="114300" distR="114300" simplePos="0" relativeHeight="251662336" behindDoc="0" locked="0" layoutInCell="1" allowOverlap="1" wp14:anchorId="27C4F6D4" wp14:editId="4A3DF91C">
                  <wp:simplePos x="0" y="0"/>
                  <wp:positionH relativeFrom="column">
                    <wp:posOffset>290195</wp:posOffset>
                  </wp:positionH>
                  <wp:positionV relativeFrom="paragraph">
                    <wp:posOffset>142875</wp:posOffset>
                  </wp:positionV>
                  <wp:extent cx="714375" cy="1177541"/>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dis-Vertical-Striped-Hot-Air-Balloons-1-300p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1177541"/>
                          </a:xfrm>
                          <a:prstGeom prst="rect">
                            <a:avLst/>
                          </a:prstGeom>
                        </pic:spPr>
                      </pic:pic>
                    </a:graphicData>
                  </a:graphic>
                </wp:anchor>
              </w:drawing>
            </w:r>
          </w:p>
        </w:tc>
        <w:tc>
          <w:tcPr>
            <w:tcW w:w="9175" w:type="dxa"/>
          </w:tcPr>
          <w:p w14:paraId="4185E625" w14:textId="77777777" w:rsidR="00BE6B5F" w:rsidRPr="0089419A" w:rsidRDefault="00BE6B5F" w:rsidP="0089419A">
            <w:pPr>
              <w:pStyle w:val="ListParagraph"/>
              <w:numPr>
                <w:ilvl w:val="0"/>
                <w:numId w:val="16"/>
              </w:numPr>
              <w:rPr>
                <w:sz w:val="28"/>
                <w:szCs w:val="28"/>
              </w:rPr>
            </w:pPr>
            <w:r w:rsidRPr="0089419A">
              <w:rPr>
                <w:sz w:val="28"/>
                <w:szCs w:val="28"/>
              </w:rPr>
              <w:t>In-depth, annual self-assessment of institution</w:t>
            </w:r>
          </w:p>
          <w:p w14:paraId="48DAFAEC" w14:textId="77777777" w:rsidR="00BE6B5F" w:rsidRPr="0089419A" w:rsidRDefault="00BE6B5F" w:rsidP="00BE6B5F">
            <w:pPr>
              <w:pStyle w:val="ListParagraph"/>
              <w:numPr>
                <w:ilvl w:val="0"/>
                <w:numId w:val="16"/>
              </w:numPr>
              <w:rPr>
                <w:sz w:val="28"/>
                <w:szCs w:val="28"/>
              </w:rPr>
            </w:pPr>
            <w:r w:rsidRPr="0089419A">
              <w:rPr>
                <w:sz w:val="28"/>
                <w:szCs w:val="28"/>
              </w:rPr>
              <w:t>Designed for effectiveness of GMEC and institutional GME activities</w:t>
            </w:r>
          </w:p>
          <w:p w14:paraId="13D915A4" w14:textId="77777777" w:rsidR="00BE6B5F" w:rsidRPr="0089419A" w:rsidRDefault="00BE6B5F" w:rsidP="00BE6B5F">
            <w:pPr>
              <w:pStyle w:val="ListParagraph"/>
              <w:numPr>
                <w:ilvl w:val="0"/>
                <w:numId w:val="16"/>
              </w:numPr>
              <w:rPr>
                <w:sz w:val="28"/>
                <w:szCs w:val="28"/>
              </w:rPr>
            </w:pPr>
            <w:r w:rsidRPr="0089419A">
              <w:rPr>
                <w:sz w:val="28"/>
                <w:szCs w:val="28"/>
              </w:rPr>
              <w:t>Templated to capture required data</w:t>
            </w:r>
          </w:p>
          <w:p w14:paraId="0A1FE942" w14:textId="77777777" w:rsidR="00BE6B5F" w:rsidRPr="0089419A" w:rsidRDefault="00BE6B5F" w:rsidP="00BE6B5F">
            <w:pPr>
              <w:pStyle w:val="ListParagraph"/>
              <w:numPr>
                <w:ilvl w:val="0"/>
                <w:numId w:val="16"/>
              </w:numPr>
              <w:rPr>
                <w:sz w:val="28"/>
                <w:szCs w:val="28"/>
              </w:rPr>
            </w:pPr>
            <w:r w:rsidRPr="0089419A">
              <w:rPr>
                <w:sz w:val="28"/>
                <w:szCs w:val="28"/>
              </w:rPr>
              <w:t>Reportable to governing body</w:t>
            </w:r>
          </w:p>
          <w:p w14:paraId="054430B1" w14:textId="77777777" w:rsidR="00BE6B5F" w:rsidRPr="0089419A" w:rsidRDefault="00BE6B5F" w:rsidP="0089419A">
            <w:pPr>
              <w:pStyle w:val="ListParagraph"/>
              <w:numPr>
                <w:ilvl w:val="0"/>
                <w:numId w:val="16"/>
              </w:numPr>
              <w:rPr>
                <w:sz w:val="28"/>
                <w:szCs w:val="28"/>
              </w:rPr>
            </w:pPr>
            <w:r w:rsidRPr="0089419A">
              <w:rPr>
                <w:sz w:val="28"/>
                <w:szCs w:val="28"/>
              </w:rPr>
              <w:t>Review, analyze, track and use for institutional improvement</w:t>
            </w:r>
          </w:p>
        </w:tc>
      </w:tr>
      <w:tr w:rsidR="00BE6B5F" w14:paraId="7D8BDA07" w14:textId="77777777" w:rsidTr="00AC5941">
        <w:tc>
          <w:tcPr>
            <w:tcW w:w="10790" w:type="dxa"/>
            <w:gridSpan w:val="2"/>
          </w:tcPr>
          <w:p w14:paraId="1666B71F" w14:textId="77777777" w:rsidR="00BE6B5F" w:rsidRPr="0089419A" w:rsidRDefault="00BE6B5F" w:rsidP="00BE6B5F">
            <w:pPr>
              <w:rPr>
                <w:sz w:val="28"/>
                <w:szCs w:val="28"/>
              </w:rPr>
            </w:pPr>
            <w:r w:rsidRPr="0089419A">
              <w:rPr>
                <w:sz w:val="28"/>
                <w:szCs w:val="28"/>
              </w:rPr>
              <w:t>National Benchmark Data</w:t>
            </w:r>
          </w:p>
        </w:tc>
      </w:tr>
      <w:tr w:rsidR="00731156" w14:paraId="1A679399" w14:textId="77777777" w:rsidTr="00BE6B5F">
        <w:tc>
          <w:tcPr>
            <w:tcW w:w="1615" w:type="dxa"/>
          </w:tcPr>
          <w:p w14:paraId="79384077" w14:textId="77777777" w:rsidR="00BE6B5F" w:rsidRPr="0089419A" w:rsidRDefault="00E84CE5" w:rsidP="002D036F">
            <w:pPr>
              <w:rPr>
                <w:noProof/>
                <w:sz w:val="28"/>
                <w:szCs w:val="28"/>
              </w:rPr>
            </w:pPr>
            <w:r w:rsidRPr="0089419A">
              <w:rPr>
                <w:noProof/>
                <w:sz w:val="28"/>
              </w:rPr>
              <w:drawing>
                <wp:anchor distT="0" distB="0" distL="114300" distR="114300" simplePos="0" relativeHeight="251666432" behindDoc="0" locked="0" layoutInCell="1" allowOverlap="1" wp14:anchorId="468A75B2" wp14:editId="48D2154A">
                  <wp:simplePos x="0" y="0"/>
                  <wp:positionH relativeFrom="column">
                    <wp:posOffset>193675</wp:posOffset>
                  </wp:positionH>
                  <wp:positionV relativeFrom="paragraph">
                    <wp:posOffset>348615</wp:posOffset>
                  </wp:positionV>
                  <wp:extent cx="877692" cy="80747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X11-graph-300p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7692" cy="807477"/>
                          </a:xfrm>
                          <a:prstGeom prst="rect">
                            <a:avLst/>
                          </a:prstGeom>
                        </pic:spPr>
                      </pic:pic>
                    </a:graphicData>
                  </a:graphic>
                </wp:anchor>
              </w:drawing>
            </w:r>
          </w:p>
        </w:tc>
        <w:tc>
          <w:tcPr>
            <w:tcW w:w="9175" w:type="dxa"/>
          </w:tcPr>
          <w:p w14:paraId="7E0E143B" w14:textId="77777777" w:rsidR="00BE6B5F" w:rsidRPr="0089419A" w:rsidRDefault="00BE6B5F" w:rsidP="00BE6B5F">
            <w:pPr>
              <w:pStyle w:val="ListParagraph"/>
              <w:numPr>
                <w:ilvl w:val="0"/>
                <w:numId w:val="16"/>
              </w:numPr>
              <w:rPr>
                <w:sz w:val="28"/>
                <w:szCs w:val="28"/>
              </w:rPr>
            </w:pPr>
            <w:r w:rsidRPr="0089419A">
              <w:rPr>
                <w:sz w:val="28"/>
                <w:szCs w:val="28"/>
              </w:rPr>
              <w:t>GME Data Book: Program and institution demographics</w:t>
            </w:r>
          </w:p>
          <w:p w14:paraId="7D2B1723" w14:textId="77777777" w:rsidR="00BE6B5F" w:rsidRPr="0089419A" w:rsidRDefault="00BE6B5F" w:rsidP="00BE6B5F">
            <w:pPr>
              <w:pStyle w:val="ListParagraph"/>
              <w:numPr>
                <w:ilvl w:val="0"/>
                <w:numId w:val="16"/>
              </w:numPr>
              <w:rPr>
                <w:sz w:val="28"/>
                <w:szCs w:val="28"/>
              </w:rPr>
            </w:pPr>
            <w:r w:rsidRPr="0089419A">
              <w:rPr>
                <w:sz w:val="28"/>
                <w:szCs w:val="28"/>
              </w:rPr>
              <w:t>NRMP Match Report: Program and institution match data</w:t>
            </w:r>
          </w:p>
          <w:p w14:paraId="792395B8" w14:textId="77777777" w:rsidR="00BE6B5F" w:rsidRPr="0089419A" w:rsidRDefault="00BE6B5F" w:rsidP="00BE6B5F">
            <w:pPr>
              <w:pStyle w:val="ListParagraph"/>
              <w:numPr>
                <w:ilvl w:val="0"/>
                <w:numId w:val="16"/>
              </w:numPr>
              <w:rPr>
                <w:sz w:val="28"/>
                <w:szCs w:val="28"/>
              </w:rPr>
            </w:pPr>
            <w:r w:rsidRPr="0089419A">
              <w:rPr>
                <w:sz w:val="28"/>
                <w:szCs w:val="28"/>
              </w:rPr>
              <w:t>CLER: Institutional pathway data</w:t>
            </w:r>
          </w:p>
          <w:p w14:paraId="6533A55C" w14:textId="77777777" w:rsidR="00BE6B5F" w:rsidRPr="0089419A" w:rsidRDefault="00BE6B5F" w:rsidP="00BE6B5F">
            <w:pPr>
              <w:pStyle w:val="ListParagraph"/>
              <w:numPr>
                <w:ilvl w:val="0"/>
                <w:numId w:val="16"/>
              </w:numPr>
              <w:rPr>
                <w:sz w:val="28"/>
                <w:szCs w:val="28"/>
              </w:rPr>
            </w:pPr>
            <w:r w:rsidRPr="0089419A">
              <w:rPr>
                <w:sz w:val="28"/>
                <w:szCs w:val="28"/>
              </w:rPr>
              <w:t>AAMC: Teaching hospital and GME demographics; resident &amp; faculty salary data</w:t>
            </w:r>
          </w:p>
          <w:p w14:paraId="095B9B75" w14:textId="77777777" w:rsidR="00BE6B5F" w:rsidRPr="0089419A" w:rsidRDefault="00BE6B5F" w:rsidP="00E84CE5">
            <w:pPr>
              <w:pStyle w:val="ListParagraph"/>
              <w:numPr>
                <w:ilvl w:val="0"/>
                <w:numId w:val="16"/>
              </w:numPr>
              <w:rPr>
                <w:sz w:val="28"/>
                <w:szCs w:val="28"/>
              </w:rPr>
            </w:pPr>
            <w:r w:rsidRPr="0089419A">
              <w:rPr>
                <w:sz w:val="28"/>
                <w:szCs w:val="28"/>
              </w:rPr>
              <w:t>Journal of Graduate Medical Education</w:t>
            </w:r>
            <w:r w:rsidR="00E84CE5">
              <w:rPr>
                <w:sz w:val="28"/>
                <w:szCs w:val="28"/>
              </w:rPr>
              <w:t>:</w:t>
            </w:r>
            <w:r w:rsidRPr="0089419A">
              <w:rPr>
                <w:sz w:val="28"/>
                <w:szCs w:val="28"/>
              </w:rPr>
              <w:t xml:space="preserve"> GME specific articles</w:t>
            </w:r>
          </w:p>
        </w:tc>
      </w:tr>
    </w:tbl>
    <w:p w14:paraId="129621FC" w14:textId="77777777" w:rsidR="00BB2CCC" w:rsidRPr="00D41DD0" w:rsidRDefault="00BB2CCC" w:rsidP="00D41DD0">
      <w:pPr>
        <w:spacing w:after="200" w:line="276" w:lineRule="auto"/>
        <w:rPr>
          <w:rFonts w:ascii="Arial" w:hAnsi="Arial" w:cs="Arial"/>
          <w:b/>
        </w:rPr>
      </w:pPr>
    </w:p>
    <w:p w14:paraId="24A28C60" w14:textId="77777777" w:rsidR="00BE6B5F" w:rsidRDefault="00BE6B5F" w:rsidP="00D41DD0">
      <w:pPr>
        <w:pStyle w:val="ListParagraph"/>
        <w:numPr>
          <w:ilvl w:val="0"/>
          <w:numId w:val="15"/>
        </w:numPr>
        <w:spacing w:after="0"/>
        <w:rPr>
          <w:rFonts w:ascii="Arial" w:hAnsi="Arial" w:cs="Arial"/>
        </w:rPr>
      </w:pPr>
      <w:r w:rsidRPr="00BE6B5F">
        <w:rPr>
          <w:rFonts w:ascii="Arial" w:hAnsi="Arial" w:cs="Arial"/>
          <w:b/>
        </w:rPr>
        <w:t xml:space="preserve">Use </w:t>
      </w:r>
      <w:r w:rsidRPr="00BE6B5F">
        <w:rPr>
          <w:rFonts w:ascii="Arial" w:hAnsi="Arial" w:cs="Arial"/>
        </w:rPr>
        <w:t>all of the data that is readily available to you for program and institutional review and improvement</w:t>
      </w:r>
      <w:r w:rsidR="00BB2CCC" w:rsidRPr="00BE6B5F">
        <w:rPr>
          <w:rFonts w:ascii="Arial" w:hAnsi="Arial" w:cs="Arial"/>
        </w:rPr>
        <w:t xml:space="preserve"> </w:t>
      </w:r>
    </w:p>
    <w:p w14:paraId="0AF011D3" w14:textId="77777777" w:rsidR="00BB2CCC" w:rsidRDefault="00BE6B5F" w:rsidP="00D41DD0">
      <w:pPr>
        <w:pStyle w:val="ListParagraph"/>
        <w:numPr>
          <w:ilvl w:val="0"/>
          <w:numId w:val="15"/>
        </w:numPr>
        <w:spacing w:after="0"/>
        <w:rPr>
          <w:rFonts w:ascii="Arial" w:hAnsi="Arial" w:cs="Arial"/>
        </w:rPr>
      </w:pPr>
      <w:r>
        <w:rPr>
          <w:rFonts w:ascii="Arial" w:hAnsi="Arial" w:cs="Arial"/>
          <w:b/>
        </w:rPr>
        <w:t>Share</w:t>
      </w:r>
      <w:r>
        <w:rPr>
          <w:rFonts w:ascii="Arial" w:hAnsi="Arial" w:cs="Arial"/>
        </w:rPr>
        <w:t xml:space="preserve"> your data and information with GMEC and others to enhance program improvement</w:t>
      </w:r>
    </w:p>
    <w:p w14:paraId="36E8820D" w14:textId="77777777" w:rsidR="00BE6B5F" w:rsidRPr="00BE6B5F" w:rsidRDefault="00BE6B5F" w:rsidP="00D41DD0">
      <w:pPr>
        <w:pStyle w:val="ListParagraph"/>
        <w:numPr>
          <w:ilvl w:val="0"/>
          <w:numId w:val="15"/>
        </w:numPr>
        <w:spacing w:after="0"/>
        <w:rPr>
          <w:rFonts w:ascii="Arial" w:hAnsi="Arial" w:cs="Arial"/>
        </w:rPr>
      </w:pPr>
      <w:r>
        <w:rPr>
          <w:rFonts w:ascii="Arial" w:hAnsi="Arial" w:cs="Arial"/>
          <w:b/>
        </w:rPr>
        <w:t>Apply</w:t>
      </w:r>
      <w:r>
        <w:rPr>
          <w:rFonts w:ascii="Arial" w:hAnsi="Arial" w:cs="Arial"/>
        </w:rPr>
        <w:t xml:space="preserve"> best practices and recommendations to your residency program</w:t>
      </w:r>
    </w:p>
    <w:p w14:paraId="10D2019F" w14:textId="77777777" w:rsidR="00D41DD0" w:rsidRPr="00BE6B5F" w:rsidRDefault="00BE6B5F" w:rsidP="00D41DD0">
      <w:pPr>
        <w:pStyle w:val="ListParagraph"/>
        <w:numPr>
          <w:ilvl w:val="0"/>
          <w:numId w:val="15"/>
        </w:numPr>
        <w:spacing w:after="0"/>
        <w:rPr>
          <w:rFonts w:ascii="Arial" w:hAnsi="Arial" w:cs="Arial"/>
        </w:rPr>
      </w:pPr>
      <w:r w:rsidRPr="00BE6B5F">
        <w:rPr>
          <w:rFonts w:ascii="Arial" w:hAnsi="Arial" w:cs="Arial"/>
          <w:b/>
        </w:rPr>
        <w:t xml:space="preserve">Read </w:t>
      </w:r>
      <w:r w:rsidR="00D41DD0" w:rsidRPr="00BE6B5F">
        <w:rPr>
          <w:rFonts w:ascii="Arial" w:hAnsi="Arial" w:cs="Arial"/>
        </w:rPr>
        <w:t>t</w:t>
      </w:r>
      <w:r w:rsidRPr="00BE6B5F">
        <w:rPr>
          <w:rFonts w:ascii="Arial" w:hAnsi="Arial" w:cs="Arial"/>
        </w:rPr>
        <w:t xml:space="preserve">he latest </w:t>
      </w:r>
      <w:r>
        <w:rPr>
          <w:rFonts w:ascii="Arial" w:hAnsi="Arial" w:cs="Arial"/>
        </w:rPr>
        <w:t xml:space="preserve">GME information from all </w:t>
      </w:r>
      <w:r w:rsidRPr="00BE6B5F">
        <w:rPr>
          <w:rFonts w:ascii="Arial" w:hAnsi="Arial" w:cs="Arial"/>
        </w:rPr>
        <w:t>GME sources</w:t>
      </w:r>
    </w:p>
    <w:sectPr w:rsidR="00D41DD0" w:rsidRPr="00BE6B5F" w:rsidSect="00905A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1195" w14:textId="77777777" w:rsidR="004A4787" w:rsidRDefault="004A4787" w:rsidP="00191522">
      <w:pPr>
        <w:spacing w:after="0" w:line="240" w:lineRule="auto"/>
      </w:pPr>
      <w:r>
        <w:separator/>
      </w:r>
    </w:p>
  </w:endnote>
  <w:endnote w:type="continuationSeparator" w:id="0">
    <w:p w14:paraId="51366E99" w14:textId="77777777" w:rsidR="004A4787" w:rsidRDefault="004A4787" w:rsidP="0019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91D0" w14:textId="77777777" w:rsidR="004A4787" w:rsidRDefault="004A4787" w:rsidP="00191522">
      <w:pPr>
        <w:spacing w:after="0" w:line="240" w:lineRule="auto"/>
      </w:pPr>
      <w:r>
        <w:separator/>
      </w:r>
    </w:p>
  </w:footnote>
  <w:footnote w:type="continuationSeparator" w:id="0">
    <w:p w14:paraId="33896873" w14:textId="77777777" w:rsidR="004A4787" w:rsidRDefault="004A4787" w:rsidP="001915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47E9"/>
    <w:multiLevelType w:val="hybridMultilevel"/>
    <w:tmpl w:val="075C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8556D3"/>
    <w:multiLevelType w:val="hybridMultilevel"/>
    <w:tmpl w:val="CB867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0C2EE8"/>
    <w:multiLevelType w:val="hybridMultilevel"/>
    <w:tmpl w:val="9E48B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B538A7"/>
    <w:multiLevelType w:val="hybridMultilevel"/>
    <w:tmpl w:val="20A6C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AE105B"/>
    <w:multiLevelType w:val="hybridMultilevel"/>
    <w:tmpl w:val="5C82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61E4A"/>
    <w:multiLevelType w:val="hybridMultilevel"/>
    <w:tmpl w:val="5DCE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5B16DA"/>
    <w:multiLevelType w:val="hybridMultilevel"/>
    <w:tmpl w:val="510A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CB4EA6"/>
    <w:multiLevelType w:val="hybridMultilevel"/>
    <w:tmpl w:val="09AC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E18D3"/>
    <w:multiLevelType w:val="hybridMultilevel"/>
    <w:tmpl w:val="2FB6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E3616"/>
    <w:multiLevelType w:val="hybridMultilevel"/>
    <w:tmpl w:val="74D48B6A"/>
    <w:lvl w:ilvl="0" w:tplc="DD0A4BD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C91E86"/>
    <w:multiLevelType w:val="hybridMultilevel"/>
    <w:tmpl w:val="50FC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887F1C"/>
    <w:multiLevelType w:val="hybridMultilevel"/>
    <w:tmpl w:val="2CB8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AB2DAC"/>
    <w:multiLevelType w:val="hybridMultilevel"/>
    <w:tmpl w:val="DDDA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5A5B6D"/>
    <w:multiLevelType w:val="hybridMultilevel"/>
    <w:tmpl w:val="4F7E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4101A2"/>
    <w:multiLevelType w:val="hybridMultilevel"/>
    <w:tmpl w:val="BB16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F019CE"/>
    <w:multiLevelType w:val="hybridMultilevel"/>
    <w:tmpl w:val="6176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4"/>
  </w:num>
  <w:num w:numId="5">
    <w:abstractNumId w:val="7"/>
  </w:num>
  <w:num w:numId="6">
    <w:abstractNumId w:val="3"/>
  </w:num>
  <w:num w:numId="7">
    <w:abstractNumId w:val="13"/>
  </w:num>
  <w:num w:numId="8">
    <w:abstractNumId w:val="0"/>
  </w:num>
  <w:num w:numId="9">
    <w:abstractNumId w:val="14"/>
  </w:num>
  <w:num w:numId="10">
    <w:abstractNumId w:val="6"/>
  </w:num>
  <w:num w:numId="11">
    <w:abstractNumId w:val="10"/>
  </w:num>
  <w:num w:numId="12">
    <w:abstractNumId w:val="11"/>
  </w:num>
  <w:num w:numId="13">
    <w:abstractNumId w:val="5"/>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9"/>
    <w:rsid w:val="00191522"/>
    <w:rsid w:val="00196AFD"/>
    <w:rsid w:val="002419C0"/>
    <w:rsid w:val="002D036F"/>
    <w:rsid w:val="003779C6"/>
    <w:rsid w:val="004471FA"/>
    <w:rsid w:val="00481268"/>
    <w:rsid w:val="004A4787"/>
    <w:rsid w:val="005A7407"/>
    <w:rsid w:val="005E72B7"/>
    <w:rsid w:val="00690578"/>
    <w:rsid w:val="00720AA0"/>
    <w:rsid w:val="00731156"/>
    <w:rsid w:val="0089419A"/>
    <w:rsid w:val="00905A19"/>
    <w:rsid w:val="00BB2CCC"/>
    <w:rsid w:val="00BC2302"/>
    <w:rsid w:val="00BE6B5F"/>
    <w:rsid w:val="00D41DD0"/>
    <w:rsid w:val="00E84CE5"/>
    <w:rsid w:val="00F4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9E87"/>
  <w15:docId w15:val="{DC0B43FC-B0F7-49CC-8C70-55888B1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19"/>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19"/>
    <w:pPr>
      <w:ind w:left="720"/>
      <w:contextualSpacing/>
    </w:pPr>
  </w:style>
  <w:style w:type="table" w:customStyle="1" w:styleId="GridTable4-Accent51">
    <w:name w:val="Grid Table 4 - Accent 51"/>
    <w:basedOn w:val="TableNormal"/>
    <w:uiPriority w:val="49"/>
    <w:rsid w:val="00905A19"/>
    <w:pPr>
      <w:spacing w:after="0" w:line="240" w:lineRule="auto"/>
    </w:pPr>
    <w:rPr>
      <w:rFonts w:eastAsiaTheme="minorEastAsi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19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22"/>
    <w:rPr>
      <w:rFonts w:eastAsiaTheme="minorEastAsia"/>
    </w:rPr>
  </w:style>
  <w:style w:type="paragraph" w:styleId="Footer">
    <w:name w:val="footer"/>
    <w:basedOn w:val="Normal"/>
    <w:link w:val="FooterChar"/>
    <w:uiPriority w:val="99"/>
    <w:unhideWhenUsed/>
    <w:rsid w:val="0019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22"/>
    <w:rPr>
      <w:rFonts w:eastAsiaTheme="minorEastAsia"/>
    </w:rPr>
  </w:style>
  <w:style w:type="paragraph" w:styleId="BalloonText">
    <w:name w:val="Balloon Text"/>
    <w:basedOn w:val="Normal"/>
    <w:link w:val="BalloonTextChar"/>
    <w:uiPriority w:val="99"/>
    <w:semiHidden/>
    <w:unhideWhenUsed/>
    <w:rsid w:val="00D4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D0"/>
    <w:rPr>
      <w:rFonts w:ascii="Tahoma" w:eastAsiaTheme="minorEastAsia" w:hAnsi="Tahoma" w:cs="Tahoma"/>
      <w:sz w:val="16"/>
      <w:szCs w:val="16"/>
    </w:rPr>
  </w:style>
  <w:style w:type="table" w:styleId="LightList-Accent3">
    <w:name w:val="Light List Accent 3"/>
    <w:basedOn w:val="TableNormal"/>
    <w:uiPriority w:val="61"/>
    <w:rsid w:val="00D41DD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D41DD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D41D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BE6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641A-4600-0544-9690-F6125260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Central California</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Peters Harvey</dc:creator>
  <cp:lastModifiedBy>Microsoft Office User</cp:lastModifiedBy>
  <cp:revision>2</cp:revision>
  <dcterms:created xsi:type="dcterms:W3CDTF">2017-06-12T16:25:00Z</dcterms:created>
  <dcterms:modified xsi:type="dcterms:W3CDTF">2017-06-12T16:25:00Z</dcterms:modified>
</cp:coreProperties>
</file>