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58E05" w14:textId="77777777" w:rsidR="00196AFD" w:rsidRDefault="00196AFD">
      <w:bookmarkStart w:id="0" w:name="_GoBack"/>
      <w:bookmarkEnd w:id="0"/>
      <w:r w:rsidRPr="00196AFD">
        <w:rPr>
          <w:noProof/>
        </w:rPr>
        <w:drawing>
          <wp:inline distT="0" distB="0" distL="0" distR="0" wp14:anchorId="12E7B6F9" wp14:editId="5E633184">
            <wp:extent cx="2580862" cy="781050"/>
            <wp:effectExtent l="0" t="0" r="0" b="0"/>
            <wp:docPr id="1" name="Picture 1" descr="C:\Users\bj\Desktop\PMELogoNewWebsit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Desktop\PMELogoNewWebsite2-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8037" cy="786248"/>
                    </a:xfrm>
                    <a:prstGeom prst="rect">
                      <a:avLst/>
                    </a:prstGeom>
                    <a:noFill/>
                    <a:ln>
                      <a:noFill/>
                    </a:ln>
                  </pic:spPr>
                </pic:pic>
              </a:graphicData>
            </a:graphic>
          </wp:inline>
        </w:drawing>
      </w:r>
    </w:p>
    <w:p w14:paraId="36264AC8" w14:textId="77777777" w:rsidR="00196AFD" w:rsidRPr="00D41DD0" w:rsidRDefault="00196AFD" w:rsidP="00196AFD">
      <w:pPr>
        <w:spacing w:after="0"/>
        <w:jc w:val="center"/>
        <w:rPr>
          <w:rFonts w:ascii="Arial" w:hAnsi="Arial" w:cs="Arial"/>
          <w:b/>
        </w:rPr>
      </w:pPr>
      <w:r w:rsidRPr="00D41DD0">
        <w:rPr>
          <w:rFonts w:ascii="Arial" w:hAnsi="Arial" w:cs="Arial"/>
          <w:b/>
        </w:rPr>
        <w:t>Partners® Educational Resource</w:t>
      </w:r>
      <w:r w:rsidR="00191522" w:rsidRPr="00D41DD0">
        <w:rPr>
          <w:rFonts w:ascii="Arial" w:hAnsi="Arial" w:cs="Arial"/>
          <w:b/>
        </w:rPr>
        <w:t xml:space="preserve"> Table</w:t>
      </w:r>
    </w:p>
    <w:p w14:paraId="760FA2F6" w14:textId="77777777" w:rsidR="00191522" w:rsidRPr="00D41DD0" w:rsidRDefault="00196AFD" w:rsidP="00D41DD0">
      <w:pPr>
        <w:spacing w:after="0"/>
        <w:jc w:val="center"/>
        <w:rPr>
          <w:rFonts w:ascii="Arial" w:hAnsi="Arial" w:cs="Arial"/>
          <w:b/>
          <w:sz w:val="20"/>
        </w:rPr>
      </w:pPr>
      <w:r w:rsidRPr="00D41DD0">
        <w:rPr>
          <w:rFonts w:ascii="Arial" w:hAnsi="Arial" w:cs="Arial"/>
          <w:b/>
          <w:sz w:val="20"/>
        </w:rPr>
        <w:t xml:space="preserve">Outlining the Implications of the </w:t>
      </w:r>
      <w:r w:rsidRPr="00D41DD0">
        <w:rPr>
          <w:rFonts w:ascii="Arial" w:hAnsi="Arial" w:cs="Arial"/>
          <w:b/>
          <w:i/>
          <w:sz w:val="20"/>
        </w:rPr>
        <w:t>Proposed</w:t>
      </w:r>
      <w:r w:rsidRPr="00D41DD0">
        <w:rPr>
          <w:rFonts w:ascii="Arial" w:hAnsi="Arial" w:cs="Arial"/>
          <w:b/>
          <w:sz w:val="20"/>
        </w:rPr>
        <w:t xml:space="preserve"> Revisions to ACGME’s Common Program Requirements (2017) </w:t>
      </w:r>
    </w:p>
    <w:p w14:paraId="50EB9C12" w14:textId="77777777" w:rsidR="00D41DD0" w:rsidRDefault="00D41DD0" w:rsidP="00191522">
      <w:pPr>
        <w:spacing w:after="0"/>
        <w:jc w:val="center"/>
      </w:pPr>
    </w:p>
    <w:tbl>
      <w:tblPr>
        <w:tblStyle w:val="MediumShading1-Accent3"/>
        <w:tblW w:w="10998" w:type="dxa"/>
        <w:tblLook w:val="0420" w:firstRow="1" w:lastRow="0" w:firstColumn="0" w:lastColumn="0" w:noHBand="0" w:noVBand="1"/>
      </w:tblPr>
      <w:tblGrid>
        <w:gridCol w:w="2178"/>
        <w:gridCol w:w="5220"/>
        <w:gridCol w:w="3600"/>
      </w:tblGrid>
      <w:tr w:rsidR="00905A19" w:rsidRPr="00D41DD0" w14:paraId="7251EA36" w14:textId="77777777" w:rsidTr="008175A1">
        <w:trPr>
          <w:cnfStyle w:val="100000000000" w:firstRow="1" w:lastRow="0" w:firstColumn="0" w:lastColumn="0" w:oddVBand="0" w:evenVBand="0" w:oddHBand="0" w:evenHBand="0" w:firstRowFirstColumn="0" w:firstRowLastColumn="0" w:lastRowFirstColumn="0" w:lastRowLastColumn="0"/>
        </w:trPr>
        <w:tc>
          <w:tcPr>
            <w:tcW w:w="2178" w:type="dxa"/>
            <w:tcBorders>
              <w:top w:val="single" w:sz="8" w:space="0" w:color="auto"/>
              <w:left w:val="single" w:sz="8" w:space="0" w:color="auto"/>
              <w:bottom w:val="single" w:sz="8" w:space="0" w:color="auto"/>
            </w:tcBorders>
          </w:tcPr>
          <w:p w14:paraId="79CF3D2C" w14:textId="77777777" w:rsidR="00905A19" w:rsidRPr="00D41DD0" w:rsidRDefault="00905A19" w:rsidP="004558F2">
            <w:pPr>
              <w:rPr>
                <w:rFonts w:ascii="Arial" w:hAnsi="Arial" w:cs="Arial"/>
                <w:sz w:val="20"/>
                <w:szCs w:val="20"/>
              </w:rPr>
            </w:pPr>
            <w:r w:rsidRPr="00D41DD0">
              <w:rPr>
                <w:rFonts w:ascii="Arial" w:hAnsi="Arial" w:cs="Arial"/>
                <w:sz w:val="20"/>
                <w:szCs w:val="20"/>
              </w:rPr>
              <w:t>Educational Element</w:t>
            </w:r>
          </w:p>
        </w:tc>
        <w:tc>
          <w:tcPr>
            <w:tcW w:w="5220" w:type="dxa"/>
            <w:tcBorders>
              <w:top w:val="single" w:sz="8" w:space="0" w:color="auto"/>
              <w:bottom w:val="single" w:sz="8" w:space="0" w:color="auto"/>
            </w:tcBorders>
          </w:tcPr>
          <w:p w14:paraId="1E6AAAA3" w14:textId="77777777" w:rsidR="00905A19" w:rsidRPr="00D41DD0" w:rsidRDefault="00905A19" w:rsidP="004558F2">
            <w:pPr>
              <w:rPr>
                <w:rFonts w:ascii="Arial" w:hAnsi="Arial" w:cs="Arial"/>
                <w:sz w:val="18"/>
                <w:szCs w:val="20"/>
              </w:rPr>
            </w:pPr>
            <w:r w:rsidRPr="00D41DD0">
              <w:rPr>
                <w:rFonts w:ascii="Arial" w:hAnsi="Arial" w:cs="Arial"/>
                <w:sz w:val="18"/>
                <w:szCs w:val="20"/>
              </w:rPr>
              <w:t>Specific Requirements</w:t>
            </w:r>
          </w:p>
        </w:tc>
        <w:tc>
          <w:tcPr>
            <w:tcW w:w="3600" w:type="dxa"/>
            <w:tcBorders>
              <w:top w:val="single" w:sz="8" w:space="0" w:color="auto"/>
              <w:bottom w:val="single" w:sz="8" w:space="0" w:color="auto"/>
              <w:right w:val="single" w:sz="8" w:space="0" w:color="auto"/>
            </w:tcBorders>
          </w:tcPr>
          <w:p w14:paraId="7D20E72F" w14:textId="77777777" w:rsidR="00905A19" w:rsidRPr="00D41DD0" w:rsidRDefault="005A7407" w:rsidP="004558F2">
            <w:pPr>
              <w:rPr>
                <w:rFonts w:ascii="Arial" w:hAnsi="Arial" w:cs="Arial"/>
                <w:sz w:val="18"/>
                <w:szCs w:val="20"/>
              </w:rPr>
            </w:pPr>
            <w:r w:rsidRPr="00D41DD0">
              <w:rPr>
                <w:rFonts w:ascii="Arial" w:hAnsi="Arial" w:cs="Arial"/>
                <w:sz w:val="18"/>
                <w:szCs w:val="20"/>
              </w:rPr>
              <w:t>Institutional Resources</w:t>
            </w:r>
          </w:p>
        </w:tc>
      </w:tr>
      <w:tr w:rsidR="00905A19" w:rsidRPr="00905A19" w14:paraId="0D7E5B06" w14:textId="77777777" w:rsidTr="008175A1">
        <w:trPr>
          <w:cnfStyle w:val="000000100000" w:firstRow="0" w:lastRow="0" w:firstColumn="0" w:lastColumn="0" w:oddVBand="0" w:evenVBand="0" w:oddHBand="1" w:evenHBand="0" w:firstRowFirstColumn="0" w:firstRowLastColumn="0" w:lastRowFirstColumn="0" w:lastRowLastColumn="0"/>
        </w:trPr>
        <w:tc>
          <w:tcPr>
            <w:tcW w:w="2178" w:type="dxa"/>
            <w:tcBorders>
              <w:top w:val="single" w:sz="8" w:space="0" w:color="auto"/>
              <w:left w:val="single" w:sz="8" w:space="0" w:color="auto"/>
              <w:bottom w:val="single" w:sz="8" w:space="0" w:color="auto"/>
            </w:tcBorders>
            <w:shd w:val="clear" w:color="auto" w:fill="D9D9D9" w:themeFill="background1" w:themeFillShade="D9"/>
          </w:tcPr>
          <w:p w14:paraId="4B930870" w14:textId="77777777" w:rsidR="00905A19" w:rsidRPr="00905A19" w:rsidRDefault="00905A19" w:rsidP="004558F2">
            <w:pPr>
              <w:rPr>
                <w:rFonts w:cstheme="minorHAnsi"/>
                <w:i/>
                <w:sz w:val="20"/>
                <w:szCs w:val="20"/>
              </w:rPr>
            </w:pPr>
            <w:r w:rsidRPr="00905A19">
              <w:rPr>
                <w:rFonts w:cstheme="minorHAnsi"/>
                <w:i/>
                <w:sz w:val="20"/>
                <w:szCs w:val="20"/>
              </w:rPr>
              <w:t>Patient Safety</w:t>
            </w:r>
          </w:p>
        </w:tc>
        <w:tc>
          <w:tcPr>
            <w:tcW w:w="5220" w:type="dxa"/>
            <w:tcBorders>
              <w:top w:val="single" w:sz="8" w:space="0" w:color="auto"/>
              <w:bottom w:val="single" w:sz="8" w:space="0" w:color="auto"/>
            </w:tcBorders>
            <w:shd w:val="clear" w:color="auto" w:fill="D9D9D9" w:themeFill="background1" w:themeFillShade="D9"/>
          </w:tcPr>
          <w:p w14:paraId="62B77D0A" w14:textId="77777777" w:rsidR="00905A19" w:rsidRPr="00905A19" w:rsidRDefault="00905A19" w:rsidP="00905A19">
            <w:pPr>
              <w:pStyle w:val="ListParagraph"/>
              <w:numPr>
                <w:ilvl w:val="0"/>
                <w:numId w:val="1"/>
              </w:numPr>
              <w:rPr>
                <w:rFonts w:cstheme="minorHAnsi"/>
                <w:sz w:val="18"/>
                <w:szCs w:val="20"/>
              </w:rPr>
            </w:pPr>
            <w:r w:rsidRPr="00905A19">
              <w:rPr>
                <w:rFonts w:cstheme="minorHAnsi"/>
                <w:sz w:val="18"/>
                <w:szCs w:val="20"/>
              </w:rPr>
              <w:t>Provide formal educational activities that promote patient safety-related goals, tools, and techniques</w:t>
            </w:r>
          </w:p>
          <w:p w14:paraId="3444C5FF" w14:textId="77777777" w:rsidR="00905A19" w:rsidRPr="00905A19" w:rsidRDefault="00905A19" w:rsidP="00905A19">
            <w:pPr>
              <w:pStyle w:val="ListParagraph"/>
              <w:numPr>
                <w:ilvl w:val="0"/>
                <w:numId w:val="1"/>
              </w:numPr>
              <w:rPr>
                <w:rFonts w:cstheme="minorHAnsi"/>
                <w:sz w:val="18"/>
                <w:szCs w:val="20"/>
              </w:rPr>
            </w:pPr>
            <w:r w:rsidRPr="00905A19">
              <w:rPr>
                <w:rFonts w:cstheme="minorHAnsi"/>
                <w:sz w:val="18"/>
                <w:szCs w:val="20"/>
              </w:rPr>
              <w:t xml:space="preserve">Participate as team members in real and/or simulated </w:t>
            </w:r>
            <w:proofErr w:type="spellStart"/>
            <w:r w:rsidRPr="00905A19">
              <w:rPr>
                <w:rFonts w:cstheme="minorHAnsi"/>
                <w:sz w:val="18"/>
                <w:szCs w:val="20"/>
              </w:rPr>
              <w:t>interprofessional</w:t>
            </w:r>
            <w:proofErr w:type="spellEnd"/>
            <w:r w:rsidRPr="00905A19">
              <w:rPr>
                <w:rFonts w:cstheme="minorHAnsi"/>
                <w:sz w:val="18"/>
                <w:szCs w:val="20"/>
              </w:rPr>
              <w:t xml:space="preserve"> clinical site-sponsored patient safety activities, such as root cause analyses or other activities that include analysis, as well as formulation and implementation of actions</w:t>
            </w:r>
          </w:p>
          <w:p w14:paraId="4D6C878D" w14:textId="77777777" w:rsidR="00905A19" w:rsidRPr="00905A19" w:rsidRDefault="00905A19" w:rsidP="00905A19">
            <w:pPr>
              <w:pStyle w:val="ListParagraph"/>
              <w:numPr>
                <w:ilvl w:val="0"/>
                <w:numId w:val="1"/>
              </w:numPr>
              <w:rPr>
                <w:rFonts w:cstheme="minorHAnsi"/>
                <w:sz w:val="18"/>
                <w:szCs w:val="20"/>
              </w:rPr>
            </w:pPr>
            <w:r w:rsidRPr="00905A19">
              <w:rPr>
                <w:rFonts w:cstheme="minorHAnsi"/>
                <w:sz w:val="18"/>
                <w:szCs w:val="20"/>
              </w:rPr>
              <w:t>Integrated into and actively participating in the implementation of interdisciplinary clinical quality improvement at participating sites to address issues identified by investigators</w:t>
            </w:r>
          </w:p>
          <w:p w14:paraId="579903BD" w14:textId="77777777" w:rsidR="00905A19" w:rsidRPr="00905A19" w:rsidRDefault="00905A19" w:rsidP="00905A19">
            <w:pPr>
              <w:pStyle w:val="ListParagraph"/>
              <w:numPr>
                <w:ilvl w:val="0"/>
                <w:numId w:val="1"/>
              </w:numPr>
              <w:rPr>
                <w:rFonts w:cstheme="minorHAnsi"/>
                <w:sz w:val="18"/>
                <w:szCs w:val="20"/>
              </w:rPr>
            </w:pPr>
            <w:r w:rsidRPr="00905A19">
              <w:rPr>
                <w:rFonts w:cstheme="minorHAnsi"/>
                <w:sz w:val="18"/>
                <w:szCs w:val="20"/>
              </w:rPr>
              <w:t>Receive training in how to disclose patient safety events to patients and families</w:t>
            </w:r>
          </w:p>
        </w:tc>
        <w:tc>
          <w:tcPr>
            <w:tcW w:w="3600" w:type="dxa"/>
            <w:tcBorders>
              <w:top w:val="single" w:sz="8" w:space="0" w:color="auto"/>
              <w:bottom w:val="single" w:sz="8" w:space="0" w:color="auto"/>
              <w:right w:val="single" w:sz="8" w:space="0" w:color="auto"/>
            </w:tcBorders>
            <w:shd w:val="clear" w:color="auto" w:fill="D9D9D9" w:themeFill="background1" w:themeFillShade="D9"/>
          </w:tcPr>
          <w:p w14:paraId="2431497F" w14:textId="77777777" w:rsidR="00905A19" w:rsidRPr="00905A19" w:rsidRDefault="00905A19" w:rsidP="004558F2">
            <w:pPr>
              <w:rPr>
                <w:rFonts w:cstheme="minorHAnsi"/>
                <w:sz w:val="18"/>
                <w:szCs w:val="20"/>
              </w:rPr>
            </w:pPr>
            <w:r w:rsidRPr="00905A19">
              <w:rPr>
                <w:rFonts w:cstheme="minorHAnsi"/>
                <w:sz w:val="18"/>
                <w:szCs w:val="20"/>
              </w:rPr>
              <w:t xml:space="preserve">Increased time devoted by faculty members to patient safety </w:t>
            </w:r>
          </w:p>
          <w:p w14:paraId="11DD4CD4" w14:textId="77777777" w:rsidR="00905A19" w:rsidRPr="00905A19" w:rsidRDefault="00905A19" w:rsidP="00905A19">
            <w:pPr>
              <w:rPr>
                <w:rFonts w:cstheme="minorHAnsi"/>
                <w:sz w:val="18"/>
                <w:szCs w:val="20"/>
              </w:rPr>
            </w:pPr>
            <w:r w:rsidRPr="00905A19">
              <w:rPr>
                <w:rFonts w:cstheme="minorHAnsi"/>
                <w:sz w:val="18"/>
                <w:szCs w:val="20"/>
              </w:rPr>
              <w:t>Faculty development:</w:t>
            </w:r>
          </w:p>
          <w:p w14:paraId="71D923A0" w14:textId="77777777" w:rsidR="00905A19" w:rsidRPr="00905A19" w:rsidRDefault="00905A19" w:rsidP="00905A19">
            <w:pPr>
              <w:pStyle w:val="ListParagraph"/>
              <w:numPr>
                <w:ilvl w:val="0"/>
                <w:numId w:val="14"/>
              </w:numPr>
              <w:rPr>
                <w:rFonts w:cstheme="minorHAnsi"/>
                <w:sz w:val="18"/>
                <w:szCs w:val="20"/>
              </w:rPr>
            </w:pPr>
            <w:r w:rsidRPr="00905A19">
              <w:rPr>
                <w:rFonts w:cstheme="minorHAnsi"/>
                <w:sz w:val="18"/>
                <w:szCs w:val="20"/>
              </w:rPr>
              <w:t>Patient safety principles</w:t>
            </w:r>
          </w:p>
          <w:p w14:paraId="32389D53" w14:textId="77777777" w:rsidR="00905A19" w:rsidRPr="00905A19" w:rsidRDefault="00905A19" w:rsidP="00905A19">
            <w:pPr>
              <w:pStyle w:val="ListParagraph"/>
              <w:numPr>
                <w:ilvl w:val="0"/>
                <w:numId w:val="14"/>
              </w:numPr>
              <w:rPr>
                <w:rFonts w:cstheme="minorHAnsi"/>
                <w:sz w:val="18"/>
                <w:szCs w:val="20"/>
              </w:rPr>
            </w:pPr>
            <w:r w:rsidRPr="00905A19">
              <w:rPr>
                <w:rFonts w:cstheme="minorHAnsi"/>
                <w:sz w:val="18"/>
                <w:szCs w:val="20"/>
              </w:rPr>
              <w:t>reporting, investigation and follow-up of adverse events and near misses</w:t>
            </w:r>
          </w:p>
          <w:p w14:paraId="40F837B8" w14:textId="77777777" w:rsidR="00905A19" w:rsidRPr="00905A19" w:rsidRDefault="00905A19" w:rsidP="00905A19">
            <w:pPr>
              <w:pStyle w:val="ListParagraph"/>
              <w:numPr>
                <w:ilvl w:val="0"/>
                <w:numId w:val="14"/>
              </w:numPr>
              <w:rPr>
                <w:rFonts w:cstheme="minorHAnsi"/>
                <w:sz w:val="18"/>
                <w:szCs w:val="20"/>
              </w:rPr>
            </w:pPr>
            <w:r w:rsidRPr="00905A19">
              <w:rPr>
                <w:rFonts w:cstheme="minorHAnsi"/>
                <w:sz w:val="18"/>
                <w:szCs w:val="20"/>
              </w:rPr>
              <w:t>disclosure of adverse events</w:t>
            </w:r>
          </w:p>
        </w:tc>
      </w:tr>
      <w:tr w:rsidR="00905A19" w:rsidRPr="00905A19" w14:paraId="5511E0C8" w14:textId="77777777" w:rsidTr="008175A1">
        <w:trPr>
          <w:cnfStyle w:val="000000010000" w:firstRow="0" w:lastRow="0" w:firstColumn="0" w:lastColumn="0" w:oddVBand="0" w:evenVBand="0" w:oddHBand="0" w:evenHBand="1" w:firstRowFirstColumn="0" w:firstRowLastColumn="0" w:lastRowFirstColumn="0" w:lastRowLastColumn="0"/>
        </w:trPr>
        <w:tc>
          <w:tcPr>
            <w:tcW w:w="2178" w:type="dxa"/>
            <w:tcBorders>
              <w:top w:val="single" w:sz="8" w:space="0" w:color="auto"/>
              <w:left w:val="single" w:sz="8" w:space="0" w:color="auto"/>
              <w:bottom w:val="single" w:sz="8" w:space="0" w:color="auto"/>
            </w:tcBorders>
          </w:tcPr>
          <w:p w14:paraId="4376AC1A" w14:textId="77777777" w:rsidR="00905A19" w:rsidRPr="00905A19" w:rsidRDefault="00905A19" w:rsidP="004558F2">
            <w:pPr>
              <w:rPr>
                <w:rFonts w:cstheme="minorHAnsi"/>
                <w:i/>
                <w:sz w:val="20"/>
                <w:szCs w:val="20"/>
              </w:rPr>
            </w:pPr>
            <w:r w:rsidRPr="00905A19">
              <w:rPr>
                <w:rFonts w:cstheme="minorHAnsi"/>
                <w:i/>
                <w:sz w:val="20"/>
                <w:szCs w:val="20"/>
              </w:rPr>
              <w:t>Quality Improvement</w:t>
            </w:r>
          </w:p>
        </w:tc>
        <w:tc>
          <w:tcPr>
            <w:tcW w:w="5220" w:type="dxa"/>
            <w:tcBorders>
              <w:top w:val="single" w:sz="8" w:space="0" w:color="auto"/>
              <w:bottom w:val="single" w:sz="8" w:space="0" w:color="auto"/>
            </w:tcBorders>
          </w:tcPr>
          <w:p w14:paraId="3AB540C1" w14:textId="77777777" w:rsidR="00905A19" w:rsidRPr="00905A19" w:rsidRDefault="00905A19" w:rsidP="00905A19">
            <w:pPr>
              <w:pStyle w:val="ListParagraph"/>
              <w:numPr>
                <w:ilvl w:val="0"/>
                <w:numId w:val="2"/>
              </w:numPr>
              <w:rPr>
                <w:rFonts w:cstheme="minorHAnsi"/>
                <w:sz w:val="18"/>
                <w:szCs w:val="20"/>
              </w:rPr>
            </w:pPr>
            <w:r w:rsidRPr="00905A19">
              <w:rPr>
                <w:rFonts w:cstheme="minorHAnsi"/>
                <w:sz w:val="18"/>
                <w:szCs w:val="20"/>
              </w:rPr>
              <w:t>Receive training and experience in quality improvement processes, including and understanding of health care disparities</w:t>
            </w:r>
          </w:p>
          <w:p w14:paraId="568207C0" w14:textId="77777777" w:rsidR="00905A19" w:rsidRPr="00905A19" w:rsidRDefault="00905A19" w:rsidP="00905A19">
            <w:pPr>
              <w:pStyle w:val="ListParagraph"/>
              <w:numPr>
                <w:ilvl w:val="0"/>
                <w:numId w:val="2"/>
              </w:numPr>
              <w:rPr>
                <w:rFonts w:cstheme="minorHAnsi"/>
                <w:sz w:val="18"/>
                <w:szCs w:val="20"/>
              </w:rPr>
            </w:pPr>
            <w:r w:rsidRPr="00905A19">
              <w:rPr>
                <w:rFonts w:cstheme="minorHAnsi"/>
                <w:sz w:val="18"/>
                <w:szCs w:val="20"/>
              </w:rPr>
              <w:t>Receive specialty-specific data on quality metrics and benchmarks related to their patient populations</w:t>
            </w:r>
          </w:p>
          <w:p w14:paraId="55703035" w14:textId="77777777" w:rsidR="00905A19" w:rsidRPr="00905A19" w:rsidRDefault="00905A19" w:rsidP="00905A19">
            <w:pPr>
              <w:pStyle w:val="ListParagraph"/>
              <w:numPr>
                <w:ilvl w:val="0"/>
                <w:numId w:val="2"/>
              </w:numPr>
              <w:rPr>
                <w:rFonts w:cstheme="minorHAnsi"/>
                <w:sz w:val="18"/>
                <w:szCs w:val="20"/>
              </w:rPr>
            </w:pPr>
            <w:r w:rsidRPr="00905A19">
              <w:rPr>
                <w:rFonts w:cstheme="minorHAnsi"/>
                <w:sz w:val="18"/>
                <w:szCs w:val="20"/>
              </w:rPr>
              <w:t xml:space="preserve">Participate in </w:t>
            </w:r>
            <w:proofErr w:type="spellStart"/>
            <w:r w:rsidRPr="00905A19">
              <w:rPr>
                <w:rFonts w:cstheme="minorHAnsi"/>
                <w:sz w:val="18"/>
                <w:szCs w:val="20"/>
              </w:rPr>
              <w:t>interprofessional</w:t>
            </w:r>
            <w:proofErr w:type="spellEnd"/>
            <w:r w:rsidRPr="00905A19">
              <w:rPr>
                <w:rFonts w:cstheme="minorHAnsi"/>
                <w:sz w:val="18"/>
                <w:szCs w:val="20"/>
              </w:rPr>
              <w:t xml:space="preserve"> quality improvement activities, including activities aimed at reducing health care disparities</w:t>
            </w:r>
          </w:p>
        </w:tc>
        <w:tc>
          <w:tcPr>
            <w:tcW w:w="3600" w:type="dxa"/>
            <w:tcBorders>
              <w:top w:val="single" w:sz="8" w:space="0" w:color="auto"/>
              <w:bottom w:val="single" w:sz="8" w:space="0" w:color="auto"/>
              <w:right w:val="single" w:sz="8" w:space="0" w:color="auto"/>
            </w:tcBorders>
          </w:tcPr>
          <w:p w14:paraId="4BF64AD4" w14:textId="77777777" w:rsidR="00905A19" w:rsidRPr="00905A19" w:rsidRDefault="00905A19" w:rsidP="004558F2">
            <w:pPr>
              <w:rPr>
                <w:rFonts w:cstheme="minorHAnsi"/>
                <w:sz w:val="18"/>
                <w:szCs w:val="20"/>
              </w:rPr>
            </w:pPr>
            <w:r w:rsidRPr="00905A19">
              <w:rPr>
                <w:rFonts w:cstheme="minorHAnsi"/>
                <w:sz w:val="18"/>
                <w:szCs w:val="20"/>
              </w:rPr>
              <w:t>Increased time devoted by faculty members to quality improvement</w:t>
            </w:r>
          </w:p>
          <w:p w14:paraId="42A17E3B" w14:textId="77777777" w:rsidR="00905A19" w:rsidRPr="00905A19" w:rsidRDefault="00905A19" w:rsidP="00905A19">
            <w:pPr>
              <w:rPr>
                <w:rFonts w:cstheme="minorHAnsi"/>
                <w:sz w:val="18"/>
                <w:szCs w:val="20"/>
              </w:rPr>
            </w:pPr>
            <w:r w:rsidRPr="00905A19">
              <w:rPr>
                <w:rFonts w:cstheme="minorHAnsi"/>
                <w:sz w:val="18"/>
                <w:szCs w:val="20"/>
              </w:rPr>
              <w:t>Faculty development:</w:t>
            </w:r>
          </w:p>
          <w:p w14:paraId="487487C2" w14:textId="77777777" w:rsidR="00905A19" w:rsidRPr="00905A19" w:rsidRDefault="00905A19" w:rsidP="00905A19">
            <w:pPr>
              <w:pStyle w:val="ListParagraph"/>
              <w:numPr>
                <w:ilvl w:val="0"/>
                <w:numId w:val="13"/>
              </w:numPr>
              <w:rPr>
                <w:rFonts w:cstheme="minorHAnsi"/>
                <w:sz w:val="18"/>
                <w:szCs w:val="20"/>
              </w:rPr>
            </w:pPr>
            <w:r w:rsidRPr="00905A19">
              <w:rPr>
                <w:rFonts w:cstheme="minorHAnsi"/>
                <w:sz w:val="18"/>
                <w:szCs w:val="20"/>
              </w:rPr>
              <w:t>Quality improvement processes, including understanding health care disparities</w:t>
            </w:r>
          </w:p>
          <w:p w14:paraId="3988EDA7" w14:textId="77777777" w:rsidR="00905A19" w:rsidRPr="00905A19" w:rsidRDefault="00905A19" w:rsidP="002114FA">
            <w:pPr>
              <w:pStyle w:val="ListParagraph"/>
              <w:numPr>
                <w:ilvl w:val="0"/>
                <w:numId w:val="13"/>
              </w:numPr>
              <w:rPr>
                <w:rFonts w:cstheme="minorHAnsi"/>
                <w:sz w:val="18"/>
                <w:szCs w:val="20"/>
              </w:rPr>
            </w:pPr>
            <w:r w:rsidRPr="00905A19">
              <w:rPr>
                <w:rFonts w:cstheme="minorHAnsi"/>
                <w:sz w:val="18"/>
                <w:szCs w:val="20"/>
              </w:rPr>
              <w:t>Use of specialty-specific data on quality metrics and benchmarks and how this should be taught to resident/fellows</w:t>
            </w:r>
          </w:p>
        </w:tc>
      </w:tr>
      <w:tr w:rsidR="00905A19" w:rsidRPr="00905A19" w14:paraId="37CC7ADA" w14:textId="77777777" w:rsidTr="008175A1">
        <w:trPr>
          <w:cnfStyle w:val="000000100000" w:firstRow="0" w:lastRow="0" w:firstColumn="0" w:lastColumn="0" w:oddVBand="0" w:evenVBand="0" w:oddHBand="1" w:evenHBand="0" w:firstRowFirstColumn="0" w:firstRowLastColumn="0" w:lastRowFirstColumn="0" w:lastRowLastColumn="0"/>
        </w:trPr>
        <w:tc>
          <w:tcPr>
            <w:tcW w:w="2178" w:type="dxa"/>
            <w:tcBorders>
              <w:top w:val="single" w:sz="8" w:space="0" w:color="auto"/>
              <w:left w:val="single" w:sz="8" w:space="0" w:color="auto"/>
              <w:bottom w:val="single" w:sz="8" w:space="0" w:color="auto"/>
            </w:tcBorders>
            <w:shd w:val="clear" w:color="auto" w:fill="D9D9D9" w:themeFill="background1" w:themeFillShade="D9"/>
          </w:tcPr>
          <w:p w14:paraId="29E92C94" w14:textId="77777777" w:rsidR="00905A19" w:rsidRPr="00905A19" w:rsidRDefault="00905A19" w:rsidP="004558F2">
            <w:pPr>
              <w:rPr>
                <w:rFonts w:cstheme="minorHAnsi"/>
                <w:i/>
                <w:sz w:val="20"/>
                <w:szCs w:val="20"/>
              </w:rPr>
            </w:pPr>
            <w:r w:rsidRPr="00905A19">
              <w:rPr>
                <w:rFonts w:cstheme="minorHAnsi"/>
                <w:i/>
                <w:sz w:val="20"/>
                <w:szCs w:val="20"/>
              </w:rPr>
              <w:t>Supervision</w:t>
            </w:r>
          </w:p>
        </w:tc>
        <w:tc>
          <w:tcPr>
            <w:tcW w:w="5220" w:type="dxa"/>
            <w:tcBorders>
              <w:top w:val="single" w:sz="8" w:space="0" w:color="auto"/>
              <w:bottom w:val="single" w:sz="8" w:space="0" w:color="auto"/>
            </w:tcBorders>
            <w:shd w:val="clear" w:color="auto" w:fill="D9D9D9" w:themeFill="background1" w:themeFillShade="D9"/>
          </w:tcPr>
          <w:p w14:paraId="715FEE06" w14:textId="77777777" w:rsidR="00905A19" w:rsidRPr="00905A19" w:rsidRDefault="00905A19" w:rsidP="00905A19">
            <w:pPr>
              <w:pStyle w:val="ListParagraph"/>
              <w:numPr>
                <w:ilvl w:val="0"/>
                <w:numId w:val="2"/>
              </w:numPr>
              <w:rPr>
                <w:rFonts w:cstheme="minorHAnsi"/>
                <w:sz w:val="18"/>
                <w:szCs w:val="20"/>
              </w:rPr>
            </w:pPr>
            <w:r w:rsidRPr="00905A19">
              <w:rPr>
                <w:rFonts w:cstheme="minorHAnsi"/>
                <w:sz w:val="18"/>
                <w:szCs w:val="20"/>
              </w:rPr>
              <w:t>Program director must evaluate each resident/fellow’s abilities based on specific criteria, guided by Milestones.</w:t>
            </w:r>
          </w:p>
          <w:p w14:paraId="083B483B" w14:textId="77777777" w:rsidR="00905A19" w:rsidRPr="00905A19" w:rsidRDefault="00905A19" w:rsidP="00905A19">
            <w:pPr>
              <w:pStyle w:val="ListParagraph"/>
              <w:numPr>
                <w:ilvl w:val="0"/>
                <w:numId w:val="2"/>
              </w:numPr>
              <w:rPr>
                <w:rFonts w:cstheme="minorHAnsi"/>
                <w:sz w:val="18"/>
                <w:szCs w:val="20"/>
              </w:rPr>
            </w:pPr>
            <w:r w:rsidRPr="00905A19">
              <w:rPr>
                <w:rFonts w:cstheme="minorHAnsi"/>
                <w:sz w:val="18"/>
                <w:szCs w:val="20"/>
              </w:rPr>
              <w:t>Each program must set guidelines for circumstances and events in which resident/fellows must communicate with the supervising faculty</w:t>
            </w:r>
          </w:p>
        </w:tc>
        <w:tc>
          <w:tcPr>
            <w:tcW w:w="3600" w:type="dxa"/>
            <w:tcBorders>
              <w:top w:val="single" w:sz="8" w:space="0" w:color="auto"/>
              <w:bottom w:val="single" w:sz="8" w:space="0" w:color="auto"/>
              <w:right w:val="single" w:sz="8" w:space="0" w:color="auto"/>
            </w:tcBorders>
            <w:shd w:val="clear" w:color="auto" w:fill="D9D9D9" w:themeFill="background1" w:themeFillShade="D9"/>
          </w:tcPr>
          <w:p w14:paraId="654EB036" w14:textId="77777777" w:rsidR="00905A19" w:rsidRPr="00905A19" w:rsidRDefault="00905A19" w:rsidP="00905A19">
            <w:pPr>
              <w:rPr>
                <w:rFonts w:cstheme="minorHAnsi"/>
                <w:sz w:val="18"/>
                <w:szCs w:val="20"/>
              </w:rPr>
            </w:pPr>
            <w:r w:rsidRPr="00905A19">
              <w:rPr>
                <w:rFonts w:cstheme="minorHAnsi"/>
                <w:sz w:val="18"/>
                <w:szCs w:val="20"/>
              </w:rPr>
              <w:t>Policy development assistance for program leadership:</w:t>
            </w:r>
          </w:p>
          <w:p w14:paraId="16CAEAFA" w14:textId="77777777" w:rsidR="00905A19" w:rsidRPr="00905A19" w:rsidRDefault="00905A19" w:rsidP="00905A19">
            <w:pPr>
              <w:pStyle w:val="ListParagraph"/>
              <w:numPr>
                <w:ilvl w:val="0"/>
                <w:numId w:val="12"/>
              </w:numPr>
              <w:rPr>
                <w:rFonts w:cstheme="minorHAnsi"/>
                <w:sz w:val="18"/>
                <w:szCs w:val="20"/>
              </w:rPr>
            </w:pPr>
            <w:r w:rsidRPr="00905A19">
              <w:rPr>
                <w:rFonts w:cstheme="minorHAnsi"/>
                <w:sz w:val="18"/>
                <w:szCs w:val="20"/>
              </w:rPr>
              <w:t>Developing specific criteria, guided by Milestones, for evaluating resident/fellows</w:t>
            </w:r>
          </w:p>
          <w:p w14:paraId="01A526C1" w14:textId="77777777" w:rsidR="00905A19" w:rsidRPr="00905A19" w:rsidRDefault="00905A19" w:rsidP="00905A19">
            <w:pPr>
              <w:pStyle w:val="ListParagraph"/>
              <w:numPr>
                <w:ilvl w:val="0"/>
                <w:numId w:val="12"/>
              </w:numPr>
              <w:rPr>
                <w:rFonts w:cstheme="minorHAnsi"/>
                <w:sz w:val="18"/>
                <w:szCs w:val="20"/>
              </w:rPr>
            </w:pPr>
            <w:r w:rsidRPr="00905A19">
              <w:rPr>
                <w:rFonts w:cstheme="minorHAnsi"/>
                <w:sz w:val="18"/>
                <w:szCs w:val="20"/>
              </w:rPr>
              <w:t xml:space="preserve">Guidelines for circumstances and events in which resident/fellows must communicate with the supervising faculty </w:t>
            </w:r>
          </w:p>
        </w:tc>
      </w:tr>
      <w:tr w:rsidR="00905A19" w:rsidRPr="00905A19" w14:paraId="4C33DDBD" w14:textId="77777777" w:rsidTr="008175A1">
        <w:trPr>
          <w:cnfStyle w:val="000000010000" w:firstRow="0" w:lastRow="0" w:firstColumn="0" w:lastColumn="0" w:oddVBand="0" w:evenVBand="0" w:oddHBand="0" w:evenHBand="1" w:firstRowFirstColumn="0" w:firstRowLastColumn="0" w:lastRowFirstColumn="0" w:lastRowLastColumn="0"/>
        </w:trPr>
        <w:tc>
          <w:tcPr>
            <w:tcW w:w="2178" w:type="dxa"/>
            <w:tcBorders>
              <w:top w:val="single" w:sz="8" w:space="0" w:color="auto"/>
              <w:left w:val="single" w:sz="8" w:space="0" w:color="auto"/>
              <w:bottom w:val="single" w:sz="8" w:space="0" w:color="auto"/>
            </w:tcBorders>
          </w:tcPr>
          <w:p w14:paraId="3A91D4A3" w14:textId="77777777" w:rsidR="00905A19" w:rsidRPr="00905A19" w:rsidRDefault="00905A19" w:rsidP="004558F2">
            <w:pPr>
              <w:rPr>
                <w:rFonts w:cstheme="minorHAnsi"/>
                <w:i/>
                <w:sz w:val="20"/>
                <w:szCs w:val="20"/>
              </w:rPr>
            </w:pPr>
            <w:r w:rsidRPr="00905A19">
              <w:rPr>
                <w:rFonts w:cstheme="minorHAnsi"/>
                <w:i/>
                <w:sz w:val="20"/>
                <w:szCs w:val="20"/>
              </w:rPr>
              <w:t>Professionalism</w:t>
            </w:r>
          </w:p>
        </w:tc>
        <w:tc>
          <w:tcPr>
            <w:tcW w:w="5220" w:type="dxa"/>
            <w:tcBorders>
              <w:top w:val="single" w:sz="8" w:space="0" w:color="auto"/>
              <w:bottom w:val="single" w:sz="8" w:space="0" w:color="auto"/>
            </w:tcBorders>
          </w:tcPr>
          <w:p w14:paraId="0797558C" w14:textId="77777777" w:rsidR="00905A19" w:rsidRPr="00905A19" w:rsidRDefault="00905A19" w:rsidP="00905A19">
            <w:pPr>
              <w:pStyle w:val="ListParagraph"/>
              <w:numPr>
                <w:ilvl w:val="0"/>
                <w:numId w:val="2"/>
              </w:numPr>
              <w:rPr>
                <w:rFonts w:cstheme="minorHAnsi"/>
                <w:sz w:val="18"/>
                <w:szCs w:val="20"/>
              </w:rPr>
            </w:pPr>
            <w:r w:rsidRPr="00905A19">
              <w:rPr>
                <w:rFonts w:cstheme="minorHAnsi"/>
                <w:sz w:val="18"/>
                <w:szCs w:val="20"/>
              </w:rPr>
              <w:t>Educate resident/fellows and faculty members concerning the professional responsibilities of physicians, including their obligation to be appropriately rested and fit to provide the care required by their patients</w:t>
            </w:r>
          </w:p>
          <w:p w14:paraId="53B997A7" w14:textId="77777777" w:rsidR="00905A19" w:rsidRPr="00905A19" w:rsidRDefault="00905A19" w:rsidP="00905A19">
            <w:pPr>
              <w:pStyle w:val="ListParagraph"/>
              <w:numPr>
                <w:ilvl w:val="0"/>
                <w:numId w:val="2"/>
              </w:numPr>
              <w:rPr>
                <w:rFonts w:cstheme="minorHAnsi"/>
                <w:sz w:val="18"/>
                <w:szCs w:val="20"/>
              </w:rPr>
            </w:pPr>
            <w:r w:rsidRPr="00905A19">
              <w:rPr>
                <w:rFonts w:cstheme="minorHAnsi"/>
                <w:sz w:val="18"/>
                <w:szCs w:val="20"/>
              </w:rPr>
              <w:t>Ensure a culture of professionalism that supports patient safety and personal responsibility</w:t>
            </w:r>
          </w:p>
          <w:p w14:paraId="11FBB990" w14:textId="77777777" w:rsidR="00905A19" w:rsidRPr="00905A19" w:rsidRDefault="00905A19" w:rsidP="00905A19">
            <w:pPr>
              <w:pStyle w:val="ListParagraph"/>
              <w:numPr>
                <w:ilvl w:val="0"/>
                <w:numId w:val="2"/>
              </w:numPr>
              <w:rPr>
                <w:rFonts w:cstheme="minorHAnsi"/>
                <w:sz w:val="18"/>
                <w:szCs w:val="20"/>
              </w:rPr>
            </w:pPr>
            <w:r w:rsidRPr="00905A19">
              <w:rPr>
                <w:rFonts w:cstheme="minorHAnsi"/>
                <w:sz w:val="18"/>
                <w:szCs w:val="20"/>
              </w:rPr>
              <w:t>Demonstrate responsiveness to patient needs that supersedes self-interest</w:t>
            </w:r>
          </w:p>
        </w:tc>
        <w:tc>
          <w:tcPr>
            <w:tcW w:w="3600" w:type="dxa"/>
            <w:tcBorders>
              <w:top w:val="single" w:sz="8" w:space="0" w:color="auto"/>
              <w:bottom w:val="single" w:sz="8" w:space="0" w:color="auto"/>
              <w:right w:val="single" w:sz="8" w:space="0" w:color="auto"/>
            </w:tcBorders>
          </w:tcPr>
          <w:p w14:paraId="010A7F44" w14:textId="77777777" w:rsidR="00905A19" w:rsidRPr="00905A19" w:rsidRDefault="00905A19" w:rsidP="00905A19">
            <w:pPr>
              <w:rPr>
                <w:rFonts w:cstheme="minorHAnsi"/>
                <w:sz w:val="18"/>
                <w:szCs w:val="20"/>
              </w:rPr>
            </w:pPr>
            <w:r w:rsidRPr="00905A19">
              <w:rPr>
                <w:rFonts w:cstheme="minorHAnsi"/>
                <w:sz w:val="18"/>
                <w:szCs w:val="20"/>
              </w:rPr>
              <w:t>Faculty development:</w:t>
            </w:r>
          </w:p>
          <w:p w14:paraId="0AC0FECA" w14:textId="77777777" w:rsidR="00905A19" w:rsidRPr="00905A19" w:rsidRDefault="00905A19" w:rsidP="00905A19">
            <w:pPr>
              <w:pStyle w:val="ListParagraph"/>
              <w:numPr>
                <w:ilvl w:val="0"/>
                <w:numId w:val="11"/>
              </w:numPr>
              <w:rPr>
                <w:rFonts w:cstheme="minorHAnsi"/>
                <w:sz w:val="18"/>
                <w:szCs w:val="20"/>
              </w:rPr>
            </w:pPr>
            <w:r w:rsidRPr="00905A19">
              <w:rPr>
                <w:rFonts w:cstheme="minorHAnsi"/>
                <w:sz w:val="18"/>
                <w:szCs w:val="20"/>
              </w:rPr>
              <w:t>Professional responsibilities of physicians, including their obligation to be appropriately rested and fit to provide the care required by their patients</w:t>
            </w:r>
          </w:p>
          <w:p w14:paraId="28FB4FDF" w14:textId="77777777" w:rsidR="00BB2CCC" w:rsidRPr="00BB2CCC" w:rsidRDefault="00905A19" w:rsidP="00BB2CCC">
            <w:pPr>
              <w:pStyle w:val="ListParagraph"/>
              <w:numPr>
                <w:ilvl w:val="0"/>
                <w:numId w:val="11"/>
              </w:numPr>
              <w:rPr>
                <w:rFonts w:cstheme="minorHAnsi"/>
                <w:sz w:val="18"/>
                <w:szCs w:val="20"/>
              </w:rPr>
            </w:pPr>
            <w:r w:rsidRPr="00905A19">
              <w:rPr>
                <w:rFonts w:cstheme="minorHAnsi"/>
                <w:sz w:val="18"/>
                <w:szCs w:val="20"/>
              </w:rPr>
              <w:t>Components of a culture of professionalism that supports patient safety and personal responsibility</w:t>
            </w:r>
          </w:p>
        </w:tc>
      </w:tr>
      <w:tr w:rsidR="00905A19" w:rsidRPr="00905A19" w14:paraId="4A993DBC" w14:textId="77777777" w:rsidTr="008175A1">
        <w:trPr>
          <w:cnfStyle w:val="000000100000" w:firstRow="0" w:lastRow="0" w:firstColumn="0" w:lastColumn="0" w:oddVBand="0" w:evenVBand="0" w:oddHBand="1" w:evenHBand="0" w:firstRowFirstColumn="0" w:firstRowLastColumn="0" w:lastRowFirstColumn="0" w:lastRowLastColumn="0"/>
        </w:trPr>
        <w:tc>
          <w:tcPr>
            <w:tcW w:w="2178" w:type="dxa"/>
            <w:tcBorders>
              <w:top w:val="single" w:sz="8" w:space="0" w:color="auto"/>
              <w:left w:val="single" w:sz="8" w:space="0" w:color="auto"/>
              <w:bottom w:val="single" w:sz="8" w:space="0" w:color="auto"/>
            </w:tcBorders>
            <w:shd w:val="clear" w:color="auto" w:fill="D9D9D9" w:themeFill="background1" w:themeFillShade="D9"/>
          </w:tcPr>
          <w:p w14:paraId="7CCE74EF" w14:textId="77777777" w:rsidR="00905A19" w:rsidRPr="00905A19" w:rsidRDefault="00905A19" w:rsidP="004558F2">
            <w:pPr>
              <w:rPr>
                <w:rFonts w:cstheme="minorHAnsi"/>
                <w:i/>
                <w:sz w:val="20"/>
                <w:szCs w:val="20"/>
              </w:rPr>
            </w:pPr>
            <w:r w:rsidRPr="00905A19">
              <w:rPr>
                <w:rFonts w:cstheme="minorHAnsi"/>
                <w:i/>
                <w:sz w:val="20"/>
                <w:szCs w:val="20"/>
              </w:rPr>
              <w:t>Well-Being</w:t>
            </w:r>
          </w:p>
          <w:p w14:paraId="1768F21B" w14:textId="77777777" w:rsidR="00905A19" w:rsidRPr="00905A19" w:rsidRDefault="00905A19" w:rsidP="004558F2">
            <w:pPr>
              <w:rPr>
                <w:rFonts w:cstheme="minorHAnsi"/>
                <w:i/>
                <w:sz w:val="20"/>
                <w:szCs w:val="20"/>
              </w:rPr>
            </w:pPr>
          </w:p>
        </w:tc>
        <w:tc>
          <w:tcPr>
            <w:tcW w:w="5220" w:type="dxa"/>
            <w:tcBorders>
              <w:top w:val="single" w:sz="8" w:space="0" w:color="auto"/>
              <w:bottom w:val="single" w:sz="8" w:space="0" w:color="auto"/>
            </w:tcBorders>
            <w:shd w:val="clear" w:color="auto" w:fill="D9D9D9" w:themeFill="background1" w:themeFillShade="D9"/>
          </w:tcPr>
          <w:p w14:paraId="301CC443" w14:textId="77777777" w:rsidR="00905A19" w:rsidRPr="00905A19" w:rsidRDefault="00905A19" w:rsidP="00905A19">
            <w:pPr>
              <w:pStyle w:val="ListParagraph"/>
              <w:numPr>
                <w:ilvl w:val="0"/>
                <w:numId w:val="2"/>
              </w:numPr>
              <w:rPr>
                <w:rFonts w:cstheme="minorHAnsi"/>
                <w:sz w:val="18"/>
                <w:szCs w:val="20"/>
              </w:rPr>
            </w:pPr>
            <w:r w:rsidRPr="00905A19">
              <w:rPr>
                <w:rFonts w:cstheme="minorHAnsi"/>
                <w:sz w:val="18"/>
                <w:szCs w:val="20"/>
              </w:rPr>
              <w:t>Provide opportunity to attend medical, mental health, and dental care appointments, including those scheduled during their work hours</w:t>
            </w:r>
          </w:p>
          <w:p w14:paraId="5AA1F8A2" w14:textId="77777777" w:rsidR="00905A19" w:rsidRPr="00905A19" w:rsidRDefault="00905A19" w:rsidP="00905A19">
            <w:pPr>
              <w:pStyle w:val="ListParagraph"/>
              <w:numPr>
                <w:ilvl w:val="0"/>
                <w:numId w:val="2"/>
              </w:numPr>
              <w:rPr>
                <w:rFonts w:cstheme="minorHAnsi"/>
                <w:sz w:val="18"/>
                <w:szCs w:val="20"/>
              </w:rPr>
            </w:pPr>
            <w:r w:rsidRPr="00905A19">
              <w:rPr>
                <w:rFonts w:cstheme="minorHAnsi"/>
                <w:sz w:val="18"/>
                <w:szCs w:val="20"/>
              </w:rPr>
              <w:t>Educate faculty and resident/fellows in identification of the symptoms of burnout, depression, and substance abuse, including means to assist those who experience these conditions</w:t>
            </w:r>
          </w:p>
          <w:p w14:paraId="12CC44D5" w14:textId="77777777" w:rsidR="00905A19" w:rsidRPr="00905A19" w:rsidRDefault="00905A19" w:rsidP="00905A19">
            <w:pPr>
              <w:pStyle w:val="ListParagraph"/>
              <w:numPr>
                <w:ilvl w:val="0"/>
                <w:numId w:val="2"/>
              </w:numPr>
              <w:rPr>
                <w:rFonts w:cstheme="minorHAnsi"/>
                <w:sz w:val="18"/>
                <w:szCs w:val="20"/>
              </w:rPr>
            </w:pPr>
            <w:r w:rsidRPr="00905A19">
              <w:rPr>
                <w:rFonts w:cstheme="minorHAnsi"/>
                <w:sz w:val="18"/>
                <w:szCs w:val="20"/>
              </w:rPr>
              <w:t>Provide access to appropriate tools for self-screening</w:t>
            </w:r>
          </w:p>
          <w:p w14:paraId="41795B06" w14:textId="77777777" w:rsidR="00905A19" w:rsidRPr="00905A19" w:rsidRDefault="00905A19" w:rsidP="00905A19">
            <w:pPr>
              <w:pStyle w:val="ListParagraph"/>
              <w:numPr>
                <w:ilvl w:val="0"/>
                <w:numId w:val="2"/>
              </w:numPr>
              <w:rPr>
                <w:rFonts w:cstheme="minorHAnsi"/>
                <w:sz w:val="18"/>
                <w:szCs w:val="20"/>
              </w:rPr>
            </w:pPr>
            <w:r w:rsidRPr="00905A19">
              <w:rPr>
                <w:rFonts w:cstheme="minorHAnsi"/>
                <w:sz w:val="18"/>
                <w:szCs w:val="20"/>
              </w:rPr>
              <w:t xml:space="preserve">Provide access to confidential, affordable mental health counseling and treatment, including access to urgent and emergent care 24 hours a day, seven days a week. </w:t>
            </w:r>
          </w:p>
          <w:p w14:paraId="67A5BF22" w14:textId="77777777" w:rsidR="00905A19" w:rsidRPr="00905A19" w:rsidRDefault="00905A19" w:rsidP="00905A19">
            <w:pPr>
              <w:pStyle w:val="ListParagraph"/>
              <w:numPr>
                <w:ilvl w:val="0"/>
                <w:numId w:val="2"/>
              </w:numPr>
              <w:rPr>
                <w:rFonts w:cstheme="minorHAnsi"/>
                <w:sz w:val="18"/>
                <w:szCs w:val="20"/>
              </w:rPr>
            </w:pPr>
            <w:r w:rsidRPr="00905A19">
              <w:rPr>
                <w:rFonts w:cstheme="minorHAnsi"/>
                <w:sz w:val="18"/>
                <w:szCs w:val="20"/>
              </w:rPr>
              <w:lastRenderedPageBreak/>
              <w:t>Each program must have policies and procedures in place that ensure coverage of patient care in the event that a resident/fellow may be unable to perform their patient care responsibilities</w:t>
            </w:r>
          </w:p>
        </w:tc>
        <w:tc>
          <w:tcPr>
            <w:tcW w:w="3600" w:type="dxa"/>
            <w:tcBorders>
              <w:top w:val="single" w:sz="8" w:space="0" w:color="auto"/>
              <w:bottom w:val="single" w:sz="8" w:space="0" w:color="auto"/>
              <w:right w:val="single" w:sz="8" w:space="0" w:color="auto"/>
            </w:tcBorders>
            <w:shd w:val="clear" w:color="auto" w:fill="D9D9D9" w:themeFill="background1" w:themeFillShade="D9"/>
          </w:tcPr>
          <w:p w14:paraId="5CA25FE7" w14:textId="77777777" w:rsidR="00905A19" w:rsidRPr="00905A19" w:rsidRDefault="00905A19" w:rsidP="00905A19">
            <w:pPr>
              <w:rPr>
                <w:rFonts w:cstheme="minorHAnsi"/>
                <w:sz w:val="18"/>
                <w:szCs w:val="20"/>
              </w:rPr>
            </w:pPr>
            <w:r w:rsidRPr="00905A19">
              <w:rPr>
                <w:rFonts w:cstheme="minorHAnsi"/>
                <w:sz w:val="18"/>
                <w:szCs w:val="20"/>
              </w:rPr>
              <w:lastRenderedPageBreak/>
              <w:t>Additional resources may be required, particularly with regard to</w:t>
            </w:r>
            <w:r>
              <w:rPr>
                <w:rFonts w:cstheme="minorHAnsi"/>
                <w:sz w:val="18"/>
                <w:szCs w:val="20"/>
              </w:rPr>
              <w:t>:</w:t>
            </w:r>
            <w:r w:rsidRPr="00905A19">
              <w:rPr>
                <w:rFonts w:cstheme="minorHAnsi"/>
                <w:sz w:val="18"/>
                <w:szCs w:val="20"/>
              </w:rPr>
              <w:t xml:space="preserve"> </w:t>
            </w:r>
          </w:p>
          <w:p w14:paraId="5C4617FA" w14:textId="77777777" w:rsidR="00905A19" w:rsidRPr="00905A19" w:rsidRDefault="00905A19" w:rsidP="00905A19">
            <w:pPr>
              <w:pStyle w:val="ListParagraph"/>
              <w:numPr>
                <w:ilvl w:val="0"/>
                <w:numId w:val="9"/>
              </w:numPr>
              <w:rPr>
                <w:rFonts w:cstheme="minorHAnsi"/>
                <w:sz w:val="18"/>
                <w:szCs w:val="20"/>
              </w:rPr>
            </w:pPr>
            <w:r w:rsidRPr="00905A19">
              <w:rPr>
                <w:rFonts w:cstheme="minorHAnsi"/>
                <w:sz w:val="18"/>
                <w:szCs w:val="20"/>
              </w:rPr>
              <w:t xml:space="preserve">minimization of non-physician obligations, </w:t>
            </w:r>
          </w:p>
          <w:p w14:paraId="0812C3B7" w14:textId="77777777" w:rsidR="00905A19" w:rsidRPr="00905A19" w:rsidRDefault="00905A19" w:rsidP="00905A19">
            <w:pPr>
              <w:pStyle w:val="ListParagraph"/>
              <w:numPr>
                <w:ilvl w:val="0"/>
                <w:numId w:val="9"/>
              </w:numPr>
              <w:rPr>
                <w:rFonts w:cstheme="minorHAnsi"/>
                <w:sz w:val="18"/>
                <w:szCs w:val="20"/>
              </w:rPr>
            </w:pPr>
            <w:r w:rsidRPr="00905A19">
              <w:rPr>
                <w:rFonts w:cstheme="minorHAnsi"/>
                <w:sz w:val="18"/>
                <w:szCs w:val="20"/>
              </w:rPr>
              <w:t xml:space="preserve">administrative support, and </w:t>
            </w:r>
          </w:p>
          <w:p w14:paraId="52EAFA8D" w14:textId="77777777" w:rsidR="00905A19" w:rsidRPr="00905A19" w:rsidRDefault="00905A19" w:rsidP="00905A19">
            <w:pPr>
              <w:pStyle w:val="ListParagraph"/>
              <w:numPr>
                <w:ilvl w:val="0"/>
                <w:numId w:val="9"/>
              </w:numPr>
              <w:rPr>
                <w:rFonts w:cstheme="minorHAnsi"/>
                <w:sz w:val="18"/>
                <w:szCs w:val="20"/>
              </w:rPr>
            </w:pPr>
            <w:r w:rsidRPr="00905A19">
              <w:rPr>
                <w:rFonts w:cstheme="minorHAnsi"/>
                <w:sz w:val="18"/>
                <w:szCs w:val="20"/>
              </w:rPr>
              <w:t>access to confidential, affordable mental health counseling and treatment, including access to urgent and emergent care 24 hours a day, seven days a week.</w:t>
            </w:r>
          </w:p>
          <w:p w14:paraId="1B9AE078" w14:textId="77777777" w:rsidR="00905A19" w:rsidRPr="00905A19" w:rsidRDefault="00905A19" w:rsidP="00905A19">
            <w:pPr>
              <w:rPr>
                <w:rFonts w:cstheme="minorHAnsi"/>
                <w:sz w:val="18"/>
                <w:szCs w:val="20"/>
              </w:rPr>
            </w:pPr>
            <w:r w:rsidRPr="00905A19">
              <w:rPr>
                <w:rFonts w:cstheme="minorHAnsi"/>
                <w:sz w:val="18"/>
                <w:szCs w:val="20"/>
              </w:rPr>
              <w:t xml:space="preserve">Faculty development: </w:t>
            </w:r>
          </w:p>
          <w:p w14:paraId="1FA22EFE" w14:textId="77777777" w:rsidR="00905A19" w:rsidRPr="00905A19" w:rsidRDefault="00905A19" w:rsidP="00905A19">
            <w:pPr>
              <w:pStyle w:val="ListParagraph"/>
              <w:numPr>
                <w:ilvl w:val="0"/>
                <w:numId w:val="10"/>
              </w:numPr>
              <w:rPr>
                <w:rFonts w:cstheme="minorHAnsi"/>
                <w:sz w:val="18"/>
                <w:szCs w:val="20"/>
              </w:rPr>
            </w:pPr>
            <w:r w:rsidRPr="00905A19">
              <w:rPr>
                <w:rFonts w:cstheme="minorHAnsi"/>
                <w:sz w:val="18"/>
                <w:szCs w:val="20"/>
              </w:rPr>
              <w:t>Identification of symptoms of burnout, depression and substance abuse</w:t>
            </w:r>
          </w:p>
          <w:p w14:paraId="2BF1801F" w14:textId="77777777" w:rsidR="00905A19" w:rsidRPr="00905A19" w:rsidRDefault="00905A19" w:rsidP="00905A19">
            <w:pPr>
              <w:pStyle w:val="ListParagraph"/>
              <w:numPr>
                <w:ilvl w:val="0"/>
                <w:numId w:val="10"/>
              </w:numPr>
              <w:rPr>
                <w:rFonts w:cstheme="minorHAnsi"/>
                <w:sz w:val="18"/>
                <w:szCs w:val="20"/>
              </w:rPr>
            </w:pPr>
            <w:r w:rsidRPr="00905A19">
              <w:rPr>
                <w:rFonts w:cstheme="minorHAnsi"/>
                <w:sz w:val="18"/>
                <w:szCs w:val="20"/>
              </w:rPr>
              <w:lastRenderedPageBreak/>
              <w:t>Appropriate tools for self-screening</w:t>
            </w:r>
          </w:p>
          <w:p w14:paraId="6ACCE16D" w14:textId="77777777" w:rsidR="00905A19" w:rsidRPr="00905A19" w:rsidRDefault="00905A19" w:rsidP="00905A19">
            <w:pPr>
              <w:rPr>
                <w:rFonts w:cstheme="minorHAnsi"/>
                <w:sz w:val="18"/>
                <w:szCs w:val="20"/>
              </w:rPr>
            </w:pPr>
            <w:r w:rsidRPr="00905A19">
              <w:rPr>
                <w:rFonts w:cstheme="minorHAnsi"/>
                <w:sz w:val="18"/>
                <w:szCs w:val="20"/>
              </w:rPr>
              <w:t>Policy development assistance for program leadership:</w:t>
            </w:r>
          </w:p>
          <w:p w14:paraId="50F10D54" w14:textId="77777777" w:rsidR="00905A19" w:rsidRPr="00905A19" w:rsidRDefault="00905A19" w:rsidP="00905A19">
            <w:pPr>
              <w:pStyle w:val="ListParagraph"/>
              <w:numPr>
                <w:ilvl w:val="0"/>
                <w:numId w:val="8"/>
              </w:numPr>
              <w:rPr>
                <w:rFonts w:cstheme="minorHAnsi"/>
                <w:sz w:val="18"/>
                <w:szCs w:val="20"/>
              </w:rPr>
            </w:pPr>
            <w:r w:rsidRPr="00905A19">
              <w:rPr>
                <w:rFonts w:cstheme="minorHAnsi"/>
                <w:sz w:val="18"/>
                <w:szCs w:val="20"/>
              </w:rPr>
              <w:t>Coverage of patient care in the event that a resident/fellow may be unable to perform their patient care responsibilities</w:t>
            </w:r>
          </w:p>
        </w:tc>
      </w:tr>
      <w:tr w:rsidR="00905A19" w:rsidRPr="00905A19" w14:paraId="6768D955" w14:textId="77777777" w:rsidTr="008175A1">
        <w:trPr>
          <w:cnfStyle w:val="000000010000" w:firstRow="0" w:lastRow="0" w:firstColumn="0" w:lastColumn="0" w:oddVBand="0" w:evenVBand="0" w:oddHBand="0" w:evenHBand="1" w:firstRowFirstColumn="0" w:firstRowLastColumn="0" w:lastRowFirstColumn="0" w:lastRowLastColumn="0"/>
        </w:trPr>
        <w:tc>
          <w:tcPr>
            <w:tcW w:w="2178" w:type="dxa"/>
            <w:tcBorders>
              <w:top w:val="single" w:sz="8" w:space="0" w:color="auto"/>
              <w:left w:val="single" w:sz="8" w:space="0" w:color="auto"/>
              <w:bottom w:val="single" w:sz="8" w:space="0" w:color="auto"/>
            </w:tcBorders>
          </w:tcPr>
          <w:p w14:paraId="73E2368D" w14:textId="77777777" w:rsidR="00905A19" w:rsidRPr="00905A19" w:rsidRDefault="00905A19" w:rsidP="004558F2">
            <w:pPr>
              <w:rPr>
                <w:rFonts w:cstheme="minorHAnsi"/>
                <w:i/>
                <w:sz w:val="20"/>
                <w:szCs w:val="20"/>
              </w:rPr>
            </w:pPr>
            <w:r w:rsidRPr="00905A19">
              <w:rPr>
                <w:rFonts w:cstheme="minorHAnsi"/>
                <w:i/>
                <w:sz w:val="20"/>
                <w:szCs w:val="20"/>
              </w:rPr>
              <w:lastRenderedPageBreak/>
              <w:t>Fatigue Mitigation</w:t>
            </w:r>
          </w:p>
        </w:tc>
        <w:tc>
          <w:tcPr>
            <w:tcW w:w="5220" w:type="dxa"/>
            <w:tcBorders>
              <w:top w:val="single" w:sz="8" w:space="0" w:color="auto"/>
              <w:bottom w:val="single" w:sz="8" w:space="0" w:color="auto"/>
            </w:tcBorders>
          </w:tcPr>
          <w:p w14:paraId="4853B695" w14:textId="77777777" w:rsidR="00905A19" w:rsidRPr="00905A19" w:rsidRDefault="00905A19" w:rsidP="00905A19">
            <w:pPr>
              <w:pStyle w:val="ListParagraph"/>
              <w:numPr>
                <w:ilvl w:val="0"/>
                <w:numId w:val="2"/>
              </w:numPr>
              <w:rPr>
                <w:rFonts w:cstheme="minorHAnsi"/>
                <w:sz w:val="18"/>
                <w:szCs w:val="20"/>
              </w:rPr>
            </w:pPr>
            <w:r w:rsidRPr="00905A19">
              <w:rPr>
                <w:rFonts w:cstheme="minorHAnsi"/>
                <w:sz w:val="18"/>
                <w:szCs w:val="20"/>
              </w:rPr>
              <w:t>Educate all faculty and resident/fellows to recognize the signs of fatigue and sleep deprivation</w:t>
            </w:r>
          </w:p>
          <w:p w14:paraId="4E90599B" w14:textId="77777777" w:rsidR="00905A19" w:rsidRPr="00905A19" w:rsidRDefault="00905A19" w:rsidP="00905A19">
            <w:pPr>
              <w:pStyle w:val="ListParagraph"/>
              <w:numPr>
                <w:ilvl w:val="0"/>
                <w:numId w:val="2"/>
              </w:numPr>
              <w:rPr>
                <w:rFonts w:cstheme="minorHAnsi"/>
                <w:sz w:val="18"/>
                <w:szCs w:val="20"/>
              </w:rPr>
            </w:pPr>
            <w:r w:rsidRPr="00905A19">
              <w:rPr>
                <w:rFonts w:cstheme="minorHAnsi"/>
                <w:sz w:val="18"/>
                <w:szCs w:val="20"/>
              </w:rPr>
              <w:t>Educate all faculty and resident/fellows in alertness management and fatigue mitigation processes</w:t>
            </w:r>
          </w:p>
          <w:p w14:paraId="12CA633B" w14:textId="77777777" w:rsidR="00905A19" w:rsidRPr="00905A19" w:rsidRDefault="00905A19" w:rsidP="00905A19">
            <w:pPr>
              <w:pStyle w:val="ListParagraph"/>
              <w:numPr>
                <w:ilvl w:val="0"/>
                <w:numId w:val="2"/>
              </w:numPr>
              <w:rPr>
                <w:rFonts w:cstheme="minorHAnsi"/>
                <w:sz w:val="18"/>
                <w:szCs w:val="20"/>
              </w:rPr>
            </w:pPr>
            <w:r w:rsidRPr="00905A19">
              <w:rPr>
                <w:rFonts w:cstheme="minorHAnsi"/>
                <w:sz w:val="18"/>
                <w:szCs w:val="20"/>
              </w:rPr>
              <w:t>Ensure continuity of patient care, consistent with the program’s policy and procedures, in the event that a resident/fellow may be unable to perform their patient care responsibilities due to excessive fatigue</w:t>
            </w:r>
          </w:p>
          <w:p w14:paraId="794D92B1" w14:textId="77777777" w:rsidR="00905A19" w:rsidRPr="00905A19" w:rsidRDefault="00905A19" w:rsidP="002114FA">
            <w:pPr>
              <w:pStyle w:val="ListParagraph"/>
              <w:numPr>
                <w:ilvl w:val="0"/>
                <w:numId w:val="2"/>
              </w:numPr>
              <w:rPr>
                <w:rFonts w:cstheme="minorHAnsi"/>
                <w:sz w:val="18"/>
                <w:szCs w:val="20"/>
              </w:rPr>
            </w:pPr>
            <w:r w:rsidRPr="00905A19">
              <w:rPr>
                <w:rFonts w:cstheme="minorHAnsi"/>
                <w:sz w:val="18"/>
                <w:szCs w:val="20"/>
              </w:rPr>
              <w:t xml:space="preserve">Provide adequate sleep facilities and safe transportation options for resident/fellows </w:t>
            </w:r>
            <w:r w:rsidR="002114FA">
              <w:rPr>
                <w:rFonts w:cstheme="minorHAnsi"/>
                <w:sz w:val="18"/>
                <w:szCs w:val="20"/>
              </w:rPr>
              <w:t>w</w:t>
            </w:r>
            <w:r w:rsidRPr="00905A19">
              <w:rPr>
                <w:rFonts w:cstheme="minorHAnsi"/>
                <w:sz w:val="18"/>
                <w:szCs w:val="20"/>
              </w:rPr>
              <w:t>ho may be too fatigued to safely return home</w:t>
            </w:r>
          </w:p>
        </w:tc>
        <w:tc>
          <w:tcPr>
            <w:tcW w:w="3600" w:type="dxa"/>
            <w:tcBorders>
              <w:top w:val="single" w:sz="8" w:space="0" w:color="auto"/>
              <w:bottom w:val="single" w:sz="8" w:space="0" w:color="auto"/>
              <w:right w:val="single" w:sz="8" w:space="0" w:color="auto"/>
            </w:tcBorders>
          </w:tcPr>
          <w:p w14:paraId="30017C59" w14:textId="77777777" w:rsidR="00905A19" w:rsidRPr="00905A19" w:rsidRDefault="00905A19" w:rsidP="00905A19">
            <w:pPr>
              <w:rPr>
                <w:rFonts w:cstheme="minorHAnsi"/>
                <w:sz w:val="18"/>
                <w:szCs w:val="20"/>
              </w:rPr>
            </w:pPr>
            <w:r w:rsidRPr="00905A19">
              <w:rPr>
                <w:rFonts w:cstheme="minorHAnsi"/>
                <w:sz w:val="18"/>
                <w:szCs w:val="20"/>
              </w:rPr>
              <w:t>Faculty development:</w:t>
            </w:r>
          </w:p>
          <w:p w14:paraId="440C3979" w14:textId="77777777" w:rsidR="00905A19" w:rsidRPr="00905A19" w:rsidRDefault="00905A19" w:rsidP="00905A19">
            <w:pPr>
              <w:pStyle w:val="ListParagraph"/>
              <w:numPr>
                <w:ilvl w:val="0"/>
                <w:numId w:val="6"/>
              </w:numPr>
              <w:rPr>
                <w:rFonts w:cstheme="minorHAnsi"/>
                <w:sz w:val="18"/>
                <w:szCs w:val="20"/>
              </w:rPr>
            </w:pPr>
            <w:r w:rsidRPr="00905A19">
              <w:rPr>
                <w:rFonts w:cstheme="minorHAnsi"/>
                <w:sz w:val="18"/>
                <w:szCs w:val="20"/>
              </w:rPr>
              <w:t>Signs of fatigue and sleep deprivation</w:t>
            </w:r>
          </w:p>
          <w:p w14:paraId="2405BA50" w14:textId="77777777" w:rsidR="00905A19" w:rsidRPr="00905A19" w:rsidRDefault="00905A19" w:rsidP="00905A19">
            <w:pPr>
              <w:pStyle w:val="ListParagraph"/>
              <w:numPr>
                <w:ilvl w:val="0"/>
                <w:numId w:val="6"/>
              </w:numPr>
              <w:rPr>
                <w:rFonts w:cstheme="minorHAnsi"/>
                <w:sz w:val="18"/>
                <w:szCs w:val="20"/>
              </w:rPr>
            </w:pPr>
            <w:r w:rsidRPr="00905A19">
              <w:rPr>
                <w:rFonts w:cstheme="minorHAnsi"/>
                <w:sz w:val="18"/>
                <w:szCs w:val="20"/>
              </w:rPr>
              <w:t>Alertness management and fatigue mitigation processes</w:t>
            </w:r>
          </w:p>
          <w:p w14:paraId="0AC9635C" w14:textId="77777777" w:rsidR="00905A19" w:rsidRPr="00905A19" w:rsidRDefault="00905A19" w:rsidP="00905A19">
            <w:pPr>
              <w:rPr>
                <w:rFonts w:cstheme="minorHAnsi"/>
                <w:sz w:val="18"/>
                <w:szCs w:val="20"/>
              </w:rPr>
            </w:pPr>
            <w:r w:rsidRPr="00905A19">
              <w:rPr>
                <w:rFonts w:cstheme="minorHAnsi"/>
                <w:sz w:val="18"/>
                <w:szCs w:val="20"/>
              </w:rPr>
              <w:t>Policy development assistance for program leadership:</w:t>
            </w:r>
          </w:p>
          <w:p w14:paraId="6AF58128" w14:textId="77777777" w:rsidR="00905A19" w:rsidRPr="00905A19" w:rsidRDefault="00905A19" w:rsidP="00905A19">
            <w:pPr>
              <w:pStyle w:val="ListParagraph"/>
              <w:numPr>
                <w:ilvl w:val="0"/>
                <w:numId w:val="7"/>
              </w:numPr>
              <w:rPr>
                <w:rFonts w:cstheme="minorHAnsi"/>
                <w:sz w:val="18"/>
                <w:szCs w:val="20"/>
              </w:rPr>
            </w:pPr>
            <w:r w:rsidRPr="00905A19">
              <w:rPr>
                <w:rFonts w:cstheme="minorHAnsi"/>
                <w:sz w:val="18"/>
                <w:szCs w:val="20"/>
              </w:rPr>
              <w:t>Coverage of patient care in the event that a resident/fellow may be unable to perform their patient care responsibilities due to excessive fatigue</w:t>
            </w:r>
          </w:p>
        </w:tc>
      </w:tr>
      <w:tr w:rsidR="00905A19" w:rsidRPr="00905A19" w14:paraId="6209BB93" w14:textId="77777777" w:rsidTr="008175A1">
        <w:trPr>
          <w:cnfStyle w:val="000000100000" w:firstRow="0" w:lastRow="0" w:firstColumn="0" w:lastColumn="0" w:oddVBand="0" w:evenVBand="0" w:oddHBand="1" w:evenHBand="0" w:firstRowFirstColumn="0" w:firstRowLastColumn="0" w:lastRowFirstColumn="0" w:lastRowLastColumn="0"/>
        </w:trPr>
        <w:tc>
          <w:tcPr>
            <w:tcW w:w="2178" w:type="dxa"/>
            <w:tcBorders>
              <w:top w:val="single" w:sz="8" w:space="0" w:color="auto"/>
              <w:left w:val="single" w:sz="8" w:space="0" w:color="auto"/>
              <w:bottom w:val="single" w:sz="8" w:space="0" w:color="auto"/>
            </w:tcBorders>
            <w:shd w:val="clear" w:color="auto" w:fill="D9D9D9" w:themeFill="background1" w:themeFillShade="D9"/>
          </w:tcPr>
          <w:p w14:paraId="3C66912F" w14:textId="77777777" w:rsidR="00905A19" w:rsidRPr="00905A19" w:rsidRDefault="00905A19" w:rsidP="004558F2">
            <w:pPr>
              <w:rPr>
                <w:rFonts w:cstheme="minorHAnsi"/>
                <w:i/>
                <w:sz w:val="20"/>
                <w:szCs w:val="20"/>
              </w:rPr>
            </w:pPr>
            <w:r w:rsidRPr="00905A19">
              <w:rPr>
                <w:rFonts w:cstheme="minorHAnsi"/>
                <w:i/>
                <w:sz w:val="20"/>
                <w:szCs w:val="20"/>
              </w:rPr>
              <w:t>Clinical Responsibilities</w:t>
            </w:r>
          </w:p>
        </w:tc>
        <w:tc>
          <w:tcPr>
            <w:tcW w:w="5220" w:type="dxa"/>
            <w:tcBorders>
              <w:top w:val="single" w:sz="8" w:space="0" w:color="auto"/>
              <w:bottom w:val="single" w:sz="8" w:space="0" w:color="auto"/>
            </w:tcBorders>
            <w:shd w:val="clear" w:color="auto" w:fill="D9D9D9" w:themeFill="background1" w:themeFillShade="D9"/>
          </w:tcPr>
          <w:p w14:paraId="45DC82DA" w14:textId="77777777" w:rsidR="00905A19" w:rsidRPr="00905A19" w:rsidRDefault="00905A19" w:rsidP="00905A19">
            <w:pPr>
              <w:pStyle w:val="ListParagraph"/>
              <w:numPr>
                <w:ilvl w:val="0"/>
                <w:numId w:val="2"/>
              </w:numPr>
              <w:rPr>
                <w:rFonts w:cstheme="minorHAnsi"/>
                <w:sz w:val="18"/>
                <w:szCs w:val="20"/>
              </w:rPr>
            </w:pPr>
            <w:r w:rsidRPr="00905A19">
              <w:rPr>
                <w:rFonts w:cstheme="minorHAnsi"/>
                <w:sz w:val="18"/>
                <w:szCs w:val="20"/>
              </w:rPr>
              <w:t>Clinical responsibilities for each resident/fellow must be based on PGY level, patient safety, resident/fellow ability, severity and complexity of patient illness/condition, and available support services</w:t>
            </w:r>
          </w:p>
        </w:tc>
        <w:tc>
          <w:tcPr>
            <w:tcW w:w="3600" w:type="dxa"/>
            <w:tcBorders>
              <w:top w:val="single" w:sz="8" w:space="0" w:color="auto"/>
              <w:bottom w:val="single" w:sz="8" w:space="0" w:color="auto"/>
              <w:right w:val="single" w:sz="8" w:space="0" w:color="auto"/>
            </w:tcBorders>
            <w:shd w:val="clear" w:color="auto" w:fill="D9D9D9" w:themeFill="background1" w:themeFillShade="D9"/>
          </w:tcPr>
          <w:p w14:paraId="3794C9AD" w14:textId="77777777" w:rsidR="00905A19" w:rsidRPr="00905A19" w:rsidRDefault="00905A19" w:rsidP="004558F2">
            <w:pPr>
              <w:rPr>
                <w:rFonts w:cstheme="minorHAnsi"/>
                <w:sz w:val="18"/>
                <w:szCs w:val="20"/>
              </w:rPr>
            </w:pPr>
            <w:r w:rsidRPr="00905A19">
              <w:rPr>
                <w:rFonts w:cstheme="minorHAnsi"/>
                <w:sz w:val="18"/>
                <w:szCs w:val="20"/>
              </w:rPr>
              <w:t>Program Director time/resources to ensure that this is truly happening</w:t>
            </w:r>
          </w:p>
        </w:tc>
      </w:tr>
      <w:tr w:rsidR="00905A19" w:rsidRPr="00905A19" w14:paraId="0A9348BB" w14:textId="77777777" w:rsidTr="008175A1">
        <w:trPr>
          <w:cnfStyle w:val="000000010000" w:firstRow="0" w:lastRow="0" w:firstColumn="0" w:lastColumn="0" w:oddVBand="0" w:evenVBand="0" w:oddHBand="0" w:evenHBand="1" w:firstRowFirstColumn="0" w:firstRowLastColumn="0" w:lastRowFirstColumn="0" w:lastRowLastColumn="0"/>
        </w:trPr>
        <w:tc>
          <w:tcPr>
            <w:tcW w:w="2178" w:type="dxa"/>
            <w:tcBorders>
              <w:top w:val="single" w:sz="8" w:space="0" w:color="auto"/>
              <w:left w:val="single" w:sz="8" w:space="0" w:color="auto"/>
              <w:bottom w:val="single" w:sz="8" w:space="0" w:color="auto"/>
            </w:tcBorders>
          </w:tcPr>
          <w:p w14:paraId="2A6DEC6B" w14:textId="77777777" w:rsidR="00905A19" w:rsidRPr="00905A19" w:rsidRDefault="00905A19" w:rsidP="004558F2">
            <w:pPr>
              <w:rPr>
                <w:rFonts w:cstheme="minorHAnsi"/>
                <w:i/>
                <w:sz w:val="20"/>
                <w:szCs w:val="20"/>
              </w:rPr>
            </w:pPr>
            <w:r w:rsidRPr="00905A19">
              <w:rPr>
                <w:rFonts w:cstheme="minorHAnsi"/>
                <w:i/>
                <w:sz w:val="20"/>
                <w:szCs w:val="20"/>
              </w:rPr>
              <w:t>Teamwork</w:t>
            </w:r>
          </w:p>
        </w:tc>
        <w:tc>
          <w:tcPr>
            <w:tcW w:w="5220" w:type="dxa"/>
            <w:tcBorders>
              <w:top w:val="single" w:sz="8" w:space="0" w:color="auto"/>
              <w:bottom w:val="single" w:sz="8" w:space="0" w:color="auto"/>
            </w:tcBorders>
          </w:tcPr>
          <w:p w14:paraId="56137B91" w14:textId="77777777" w:rsidR="00905A19" w:rsidRPr="00905A19" w:rsidRDefault="00905A19" w:rsidP="00905A19">
            <w:pPr>
              <w:pStyle w:val="ListParagraph"/>
              <w:numPr>
                <w:ilvl w:val="0"/>
                <w:numId w:val="2"/>
              </w:numPr>
              <w:rPr>
                <w:rFonts w:cstheme="minorHAnsi"/>
                <w:sz w:val="18"/>
                <w:szCs w:val="20"/>
              </w:rPr>
            </w:pPr>
            <w:r w:rsidRPr="00905A19">
              <w:rPr>
                <w:rFonts w:cstheme="minorHAnsi"/>
                <w:sz w:val="18"/>
                <w:szCs w:val="20"/>
              </w:rPr>
              <w:t>Provide care for patient in an environment that maximizes communication</w:t>
            </w:r>
          </w:p>
        </w:tc>
        <w:tc>
          <w:tcPr>
            <w:tcW w:w="3600" w:type="dxa"/>
            <w:tcBorders>
              <w:top w:val="single" w:sz="8" w:space="0" w:color="auto"/>
              <w:bottom w:val="single" w:sz="8" w:space="0" w:color="auto"/>
              <w:right w:val="single" w:sz="8" w:space="0" w:color="auto"/>
            </w:tcBorders>
          </w:tcPr>
          <w:p w14:paraId="44785A71" w14:textId="77777777" w:rsidR="004B364A" w:rsidRPr="00905A19" w:rsidRDefault="004B364A" w:rsidP="004B364A">
            <w:pPr>
              <w:rPr>
                <w:rFonts w:cstheme="minorHAnsi"/>
                <w:sz w:val="18"/>
                <w:szCs w:val="20"/>
              </w:rPr>
            </w:pPr>
            <w:r w:rsidRPr="00905A19">
              <w:rPr>
                <w:rFonts w:cstheme="minorHAnsi"/>
                <w:sz w:val="18"/>
                <w:szCs w:val="20"/>
              </w:rPr>
              <w:t>Monitoring by program/institution:</w:t>
            </w:r>
          </w:p>
          <w:p w14:paraId="5832890D" w14:textId="77777777" w:rsidR="00905A19" w:rsidRDefault="00E1428F" w:rsidP="00E1428F">
            <w:pPr>
              <w:pStyle w:val="ListParagraph"/>
              <w:numPr>
                <w:ilvl w:val="0"/>
                <w:numId w:val="2"/>
              </w:numPr>
              <w:rPr>
                <w:rFonts w:cstheme="minorHAnsi"/>
                <w:sz w:val="18"/>
                <w:szCs w:val="20"/>
              </w:rPr>
            </w:pPr>
            <w:r>
              <w:rPr>
                <w:rFonts w:cstheme="minorHAnsi"/>
                <w:sz w:val="18"/>
                <w:szCs w:val="20"/>
              </w:rPr>
              <w:t>Implementing fully electronic medical health record</w:t>
            </w:r>
          </w:p>
          <w:p w14:paraId="25C0960F" w14:textId="77777777" w:rsidR="00E1428F" w:rsidRDefault="00E1428F" w:rsidP="00E1428F">
            <w:pPr>
              <w:pStyle w:val="ListParagraph"/>
              <w:numPr>
                <w:ilvl w:val="0"/>
                <w:numId w:val="2"/>
              </w:numPr>
              <w:rPr>
                <w:rFonts w:cstheme="minorHAnsi"/>
                <w:sz w:val="18"/>
                <w:szCs w:val="20"/>
              </w:rPr>
            </w:pPr>
            <w:r>
              <w:rPr>
                <w:rFonts w:cstheme="minorHAnsi"/>
                <w:sz w:val="18"/>
                <w:szCs w:val="20"/>
              </w:rPr>
              <w:t xml:space="preserve">Ensuring all EMH’s “talk” to each other or </w:t>
            </w:r>
            <w:r w:rsidR="001C3308">
              <w:rPr>
                <w:rFonts w:cstheme="minorHAnsi"/>
                <w:sz w:val="18"/>
                <w:szCs w:val="20"/>
              </w:rPr>
              <w:t xml:space="preserve">there is </w:t>
            </w:r>
            <w:r>
              <w:rPr>
                <w:rFonts w:cstheme="minorHAnsi"/>
                <w:sz w:val="18"/>
                <w:szCs w:val="20"/>
              </w:rPr>
              <w:t>easy access to all systems</w:t>
            </w:r>
          </w:p>
          <w:p w14:paraId="68498B39" w14:textId="77777777" w:rsidR="001C3308" w:rsidRPr="00905A19" w:rsidRDefault="001C3308" w:rsidP="001C3308">
            <w:pPr>
              <w:rPr>
                <w:rFonts w:cstheme="minorHAnsi"/>
                <w:sz w:val="18"/>
                <w:szCs w:val="20"/>
              </w:rPr>
            </w:pPr>
            <w:r w:rsidRPr="00905A19">
              <w:rPr>
                <w:rFonts w:cstheme="minorHAnsi"/>
                <w:sz w:val="18"/>
                <w:szCs w:val="20"/>
              </w:rPr>
              <w:t>Faculty development:</w:t>
            </w:r>
          </w:p>
          <w:p w14:paraId="686EF860" w14:textId="77777777" w:rsidR="001C3308" w:rsidRDefault="001C3308" w:rsidP="001C3308">
            <w:pPr>
              <w:pStyle w:val="ListParagraph"/>
              <w:numPr>
                <w:ilvl w:val="0"/>
                <w:numId w:val="16"/>
              </w:numPr>
              <w:rPr>
                <w:rFonts w:cstheme="minorHAnsi"/>
                <w:sz w:val="18"/>
                <w:szCs w:val="20"/>
              </w:rPr>
            </w:pPr>
            <w:r>
              <w:rPr>
                <w:rFonts w:cstheme="minorHAnsi"/>
                <w:sz w:val="18"/>
                <w:szCs w:val="20"/>
              </w:rPr>
              <w:t xml:space="preserve">Exploring </w:t>
            </w:r>
            <w:proofErr w:type="spellStart"/>
            <w:r>
              <w:rPr>
                <w:rFonts w:cstheme="minorHAnsi"/>
                <w:sz w:val="18"/>
                <w:szCs w:val="20"/>
              </w:rPr>
              <w:t>TeamSTEPPS</w:t>
            </w:r>
            <w:proofErr w:type="spellEnd"/>
            <w:r>
              <w:rPr>
                <w:rFonts w:cstheme="minorHAnsi"/>
                <w:sz w:val="18"/>
                <w:szCs w:val="20"/>
              </w:rPr>
              <w:t xml:space="preserve"> or Team building skills</w:t>
            </w:r>
          </w:p>
          <w:p w14:paraId="043B5F95" w14:textId="77777777" w:rsidR="001C3308" w:rsidRDefault="001C3308" w:rsidP="001C3308">
            <w:pPr>
              <w:rPr>
                <w:rFonts w:cstheme="minorHAnsi"/>
                <w:sz w:val="18"/>
                <w:szCs w:val="20"/>
              </w:rPr>
            </w:pPr>
            <w:r w:rsidRPr="00905A19">
              <w:rPr>
                <w:rFonts w:cstheme="minorHAnsi"/>
                <w:sz w:val="18"/>
                <w:szCs w:val="20"/>
              </w:rPr>
              <w:t>Policy development assistance for program leadership:</w:t>
            </w:r>
          </w:p>
          <w:p w14:paraId="74CE8F66" w14:textId="77777777" w:rsidR="001C3308" w:rsidRDefault="001C3308" w:rsidP="001C3308">
            <w:pPr>
              <w:pStyle w:val="ListParagraph"/>
              <w:numPr>
                <w:ilvl w:val="0"/>
                <w:numId w:val="16"/>
              </w:numPr>
              <w:rPr>
                <w:rFonts w:cstheme="minorHAnsi"/>
                <w:sz w:val="18"/>
                <w:szCs w:val="20"/>
              </w:rPr>
            </w:pPr>
            <w:r w:rsidRPr="001C3308">
              <w:rPr>
                <w:rFonts w:cstheme="minorHAnsi"/>
                <w:sz w:val="18"/>
                <w:szCs w:val="20"/>
              </w:rPr>
              <w:t xml:space="preserve">Encourage, enforce </w:t>
            </w:r>
            <w:r w:rsidR="002114FA">
              <w:rPr>
                <w:rFonts w:cstheme="minorHAnsi"/>
                <w:sz w:val="18"/>
                <w:szCs w:val="20"/>
              </w:rPr>
              <w:t>and</w:t>
            </w:r>
            <w:r w:rsidRPr="001C3308">
              <w:rPr>
                <w:rFonts w:cstheme="minorHAnsi"/>
                <w:sz w:val="18"/>
                <w:szCs w:val="20"/>
              </w:rPr>
              <w:t xml:space="preserve"> expect that anyone within the team can say something at any time and feel comfortable to ask questions or question decisions without the fear of retaliation</w:t>
            </w:r>
          </w:p>
          <w:p w14:paraId="336025B4" w14:textId="77777777" w:rsidR="001C3308" w:rsidRPr="001C3308" w:rsidRDefault="001C3308" w:rsidP="001C3308">
            <w:pPr>
              <w:pStyle w:val="ListParagraph"/>
              <w:ind w:left="360"/>
              <w:rPr>
                <w:rFonts w:cstheme="minorHAnsi"/>
                <w:sz w:val="18"/>
                <w:szCs w:val="20"/>
              </w:rPr>
            </w:pPr>
          </w:p>
        </w:tc>
      </w:tr>
      <w:tr w:rsidR="00905A19" w:rsidRPr="00905A19" w14:paraId="2EC91E51" w14:textId="77777777" w:rsidTr="008175A1">
        <w:trPr>
          <w:cnfStyle w:val="000000100000" w:firstRow="0" w:lastRow="0" w:firstColumn="0" w:lastColumn="0" w:oddVBand="0" w:evenVBand="0" w:oddHBand="1" w:evenHBand="0" w:firstRowFirstColumn="0" w:firstRowLastColumn="0" w:lastRowFirstColumn="0" w:lastRowLastColumn="0"/>
        </w:trPr>
        <w:tc>
          <w:tcPr>
            <w:tcW w:w="2178" w:type="dxa"/>
            <w:tcBorders>
              <w:top w:val="single" w:sz="8" w:space="0" w:color="auto"/>
              <w:left w:val="single" w:sz="8" w:space="0" w:color="auto"/>
              <w:bottom w:val="single" w:sz="8" w:space="0" w:color="auto"/>
            </w:tcBorders>
            <w:shd w:val="clear" w:color="auto" w:fill="D9D9D9" w:themeFill="background1" w:themeFillShade="D9"/>
          </w:tcPr>
          <w:p w14:paraId="4F59D558" w14:textId="77777777" w:rsidR="00905A19" w:rsidRPr="00905A19" w:rsidRDefault="00905A19" w:rsidP="004558F2">
            <w:pPr>
              <w:rPr>
                <w:rFonts w:cstheme="minorHAnsi"/>
                <w:i/>
                <w:sz w:val="20"/>
                <w:szCs w:val="20"/>
              </w:rPr>
            </w:pPr>
            <w:r w:rsidRPr="00905A19">
              <w:rPr>
                <w:rFonts w:cstheme="minorHAnsi"/>
                <w:i/>
                <w:sz w:val="20"/>
                <w:szCs w:val="20"/>
              </w:rPr>
              <w:t>Transitions in Care</w:t>
            </w:r>
          </w:p>
        </w:tc>
        <w:tc>
          <w:tcPr>
            <w:tcW w:w="5220" w:type="dxa"/>
            <w:tcBorders>
              <w:top w:val="single" w:sz="8" w:space="0" w:color="auto"/>
              <w:bottom w:val="single" w:sz="8" w:space="0" w:color="auto"/>
            </w:tcBorders>
            <w:shd w:val="clear" w:color="auto" w:fill="D9D9D9" w:themeFill="background1" w:themeFillShade="D9"/>
          </w:tcPr>
          <w:p w14:paraId="445A7FA3" w14:textId="77777777" w:rsidR="00905A19" w:rsidRPr="00905A19" w:rsidRDefault="00905A19" w:rsidP="00905A19">
            <w:pPr>
              <w:pStyle w:val="ListParagraph"/>
              <w:numPr>
                <w:ilvl w:val="0"/>
                <w:numId w:val="2"/>
              </w:numPr>
              <w:rPr>
                <w:rFonts w:cstheme="minorHAnsi"/>
                <w:sz w:val="18"/>
                <w:szCs w:val="20"/>
              </w:rPr>
            </w:pPr>
            <w:r w:rsidRPr="00905A19">
              <w:rPr>
                <w:rFonts w:cstheme="minorHAnsi"/>
                <w:sz w:val="18"/>
                <w:szCs w:val="20"/>
              </w:rPr>
              <w:t>Design clinical assignments to optimize transitions in care, including safety, frequency, and structure</w:t>
            </w:r>
          </w:p>
          <w:p w14:paraId="5EDF74EB" w14:textId="77777777" w:rsidR="00905A19" w:rsidRPr="00905A19" w:rsidRDefault="00905A19" w:rsidP="00905A19">
            <w:pPr>
              <w:pStyle w:val="ListParagraph"/>
              <w:numPr>
                <w:ilvl w:val="0"/>
                <w:numId w:val="2"/>
              </w:numPr>
              <w:rPr>
                <w:rFonts w:cstheme="minorHAnsi"/>
                <w:sz w:val="18"/>
                <w:szCs w:val="20"/>
              </w:rPr>
            </w:pPr>
            <w:r w:rsidRPr="00905A19">
              <w:rPr>
                <w:rFonts w:cstheme="minorHAnsi"/>
                <w:sz w:val="18"/>
                <w:szCs w:val="20"/>
              </w:rPr>
              <w:t>Ensure and monitor, with their Sponsoring Institution, effective, structured hand-over processes to facilitate both continuity of care and patient safety</w:t>
            </w:r>
          </w:p>
          <w:p w14:paraId="3D953A02" w14:textId="77777777" w:rsidR="00905A19" w:rsidRPr="00905A19" w:rsidRDefault="00905A19" w:rsidP="00905A19">
            <w:pPr>
              <w:pStyle w:val="ListParagraph"/>
              <w:numPr>
                <w:ilvl w:val="0"/>
                <w:numId w:val="2"/>
              </w:numPr>
              <w:rPr>
                <w:rFonts w:cstheme="minorHAnsi"/>
                <w:sz w:val="18"/>
                <w:szCs w:val="20"/>
              </w:rPr>
            </w:pPr>
            <w:r w:rsidRPr="00905A19">
              <w:rPr>
                <w:rFonts w:cstheme="minorHAnsi"/>
                <w:sz w:val="18"/>
                <w:szCs w:val="20"/>
              </w:rPr>
              <w:t>Ensure that resident/fellows are competent in the handover process</w:t>
            </w:r>
          </w:p>
          <w:p w14:paraId="20DF2204" w14:textId="77777777" w:rsidR="00905A19" w:rsidRPr="00905A19" w:rsidRDefault="00905A19" w:rsidP="00905A19">
            <w:pPr>
              <w:pStyle w:val="ListParagraph"/>
              <w:numPr>
                <w:ilvl w:val="0"/>
                <w:numId w:val="2"/>
              </w:numPr>
              <w:rPr>
                <w:rFonts w:cstheme="minorHAnsi"/>
                <w:sz w:val="18"/>
                <w:szCs w:val="20"/>
              </w:rPr>
            </w:pPr>
            <w:r w:rsidRPr="00905A19">
              <w:rPr>
                <w:rFonts w:cstheme="minorHAnsi"/>
                <w:sz w:val="18"/>
                <w:szCs w:val="20"/>
              </w:rPr>
              <w:t>Maintain and communicate schedule of attending physicians and resident/fellows currently responsible for care</w:t>
            </w:r>
          </w:p>
          <w:p w14:paraId="2B28AB47" w14:textId="77777777" w:rsidR="00905A19" w:rsidRPr="00905A19" w:rsidRDefault="00905A19" w:rsidP="00905A19">
            <w:pPr>
              <w:pStyle w:val="ListParagraph"/>
              <w:numPr>
                <w:ilvl w:val="0"/>
                <w:numId w:val="2"/>
              </w:numPr>
              <w:rPr>
                <w:rFonts w:cstheme="minorHAnsi"/>
                <w:sz w:val="18"/>
                <w:szCs w:val="20"/>
              </w:rPr>
            </w:pPr>
            <w:r w:rsidRPr="00905A19">
              <w:rPr>
                <w:rFonts w:cstheme="minorHAnsi"/>
                <w:sz w:val="18"/>
                <w:szCs w:val="20"/>
              </w:rPr>
              <w:t>Ensure continuity of patient care, consistent with program’s policy and procedures, in the event that a resident/fellow may be unable to perform their patient care responsibilities due to excessive fatigue or illness</w:t>
            </w:r>
          </w:p>
        </w:tc>
        <w:tc>
          <w:tcPr>
            <w:tcW w:w="3600" w:type="dxa"/>
            <w:tcBorders>
              <w:top w:val="single" w:sz="8" w:space="0" w:color="auto"/>
              <w:bottom w:val="single" w:sz="8" w:space="0" w:color="auto"/>
              <w:right w:val="single" w:sz="8" w:space="0" w:color="auto"/>
            </w:tcBorders>
            <w:shd w:val="clear" w:color="auto" w:fill="D9D9D9" w:themeFill="background1" w:themeFillShade="D9"/>
          </w:tcPr>
          <w:p w14:paraId="523F82A2" w14:textId="77777777" w:rsidR="00905A19" w:rsidRPr="00905A19" w:rsidRDefault="00905A19" w:rsidP="00905A19">
            <w:pPr>
              <w:rPr>
                <w:rFonts w:cstheme="minorHAnsi"/>
                <w:sz w:val="18"/>
                <w:szCs w:val="20"/>
              </w:rPr>
            </w:pPr>
            <w:r w:rsidRPr="00905A19">
              <w:rPr>
                <w:rFonts w:cstheme="minorHAnsi"/>
                <w:sz w:val="18"/>
                <w:szCs w:val="20"/>
              </w:rPr>
              <w:t>Monitoring by program/institution:</w:t>
            </w:r>
          </w:p>
          <w:p w14:paraId="69835166" w14:textId="77777777" w:rsidR="00905A19" w:rsidRPr="00905A19" w:rsidRDefault="00905A19" w:rsidP="00905A19">
            <w:pPr>
              <w:pStyle w:val="ListParagraph"/>
              <w:numPr>
                <w:ilvl w:val="0"/>
                <w:numId w:val="4"/>
              </w:numPr>
              <w:rPr>
                <w:rFonts w:cstheme="minorHAnsi"/>
                <w:sz w:val="18"/>
                <w:szCs w:val="20"/>
              </w:rPr>
            </w:pPr>
            <w:r w:rsidRPr="00905A19">
              <w:rPr>
                <w:rFonts w:cstheme="minorHAnsi"/>
                <w:sz w:val="18"/>
                <w:szCs w:val="20"/>
              </w:rPr>
              <w:t>Consistency in Handover processes</w:t>
            </w:r>
          </w:p>
          <w:p w14:paraId="6DD69A02" w14:textId="77777777" w:rsidR="00905A19" w:rsidRPr="00905A19" w:rsidRDefault="00905A19" w:rsidP="00905A19">
            <w:pPr>
              <w:pStyle w:val="ListParagraph"/>
              <w:numPr>
                <w:ilvl w:val="0"/>
                <w:numId w:val="4"/>
              </w:numPr>
              <w:rPr>
                <w:rFonts w:cstheme="minorHAnsi"/>
                <w:sz w:val="18"/>
                <w:szCs w:val="20"/>
              </w:rPr>
            </w:pPr>
            <w:r w:rsidRPr="00905A19">
              <w:rPr>
                <w:rFonts w:cstheme="minorHAnsi"/>
                <w:sz w:val="18"/>
                <w:szCs w:val="20"/>
              </w:rPr>
              <w:t>Resident/fellow competence in handover process</w:t>
            </w:r>
          </w:p>
          <w:p w14:paraId="5CDF2467" w14:textId="77777777" w:rsidR="00905A19" w:rsidRPr="00905A19" w:rsidRDefault="00905A19" w:rsidP="00905A19">
            <w:pPr>
              <w:rPr>
                <w:rFonts w:cstheme="minorHAnsi"/>
                <w:sz w:val="18"/>
                <w:szCs w:val="20"/>
              </w:rPr>
            </w:pPr>
            <w:r w:rsidRPr="00905A19">
              <w:rPr>
                <w:rFonts w:cstheme="minorHAnsi"/>
                <w:sz w:val="18"/>
                <w:szCs w:val="20"/>
              </w:rPr>
              <w:t>Policy development assistance for program leadership:</w:t>
            </w:r>
          </w:p>
          <w:p w14:paraId="77846FFC" w14:textId="77777777" w:rsidR="00905A19" w:rsidRPr="00905A19" w:rsidRDefault="00905A19" w:rsidP="00905A19">
            <w:pPr>
              <w:pStyle w:val="ListParagraph"/>
              <w:numPr>
                <w:ilvl w:val="0"/>
                <w:numId w:val="5"/>
              </w:numPr>
              <w:rPr>
                <w:rFonts w:cstheme="minorHAnsi"/>
                <w:sz w:val="18"/>
                <w:szCs w:val="20"/>
              </w:rPr>
            </w:pPr>
            <w:r w:rsidRPr="00905A19">
              <w:rPr>
                <w:rFonts w:cstheme="minorHAnsi"/>
                <w:sz w:val="18"/>
                <w:szCs w:val="20"/>
              </w:rPr>
              <w:t>Coverage of patient care in the event that a resident/fellow may be unable to perform their patient care responsibilities due to excessive fatigue or illness</w:t>
            </w:r>
          </w:p>
        </w:tc>
      </w:tr>
      <w:tr w:rsidR="00905A19" w:rsidRPr="00905A19" w14:paraId="14C09C93" w14:textId="77777777" w:rsidTr="008175A1">
        <w:trPr>
          <w:cnfStyle w:val="000000010000" w:firstRow="0" w:lastRow="0" w:firstColumn="0" w:lastColumn="0" w:oddVBand="0" w:evenVBand="0" w:oddHBand="0" w:evenHBand="1" w:firstRowFirstColumn="0" w:firstRowLastColumn="0" w:lastRowFirstColumn="0" w:lastRowLastColumn="0"/>
        </w:trPr>
        <w:tc>
          <w:tcPr>
            <w:tcW w:w="2178" w:type="dxa"/>
            <w:tcBorders>
              <w:top w:val="single" w:sz="8" w:space="0" w:color="auto"/>
              <w:left w:val="single" w:sz="8" w:space="0" w:color="auto"/>
              <w:bottom w:val="single" w:sz="8" w:space="0" w:color="auto"/>
            </w:tcBorders>
          </w:tcPr>
          <w:p w14:paraId="749CE85B" w14:textId="77777777" w:rsidR="00905A19" w:rsidRPr="00905A19" w:rsidRDefault="00905A19" w:rsidP="004558F2">
            <w:pPr>
              <w:rPr>
                <w:rFonts w:cstheme="minorHAnsi"/>
                <w:i/>
                <w:sz w:val="20"/>
                <w:szCs w:val="20"/>
              </w:rPr>
            </w:pPr>
            <w:r w:rsidRPr="00905A19">
              <w:rPr>
                <w:rFonts w:cstheme="minorHAnsi"/>
                <w:i/>
                <w:sz w:val="20"/>
                <w:szCs w:val="20"/>
              </w:rPr>
              <w:t>Clinical Experience and Education</w:t>
            </w:r>
          </w:p>
          <w:p w14:paraId="428AF095" w14:textId="77777777" w:rsidR="00905A19" w:rsidRPr="00905A19" w:rsidRDefault="00905A19" w:rsidP="004558F2">
            <w:pPr>
              <w:rPr>
                <w:rFonts w:cstheme="minorHAnsi"/>
                <w:i/>
                <w:sz w:val="20"/>
                <w:szCs w:val="20"/>
              </w:rPr>
            </w:pPr>
            <w:r w:rsidRPr="00905A19">
              <w:rPr>
                <w:rFonts w:cstheme="minorHAnsi"/>
                <w:i/>
                <w:sz w:val="20"/>
                <w:szCs w:val="20"/>
              </w:rPr>
              <w:t>(Formerly known as Duty Hours)</w:t>
            </w:r>
          </w:p>
        </w:tc>
        <w:tc>
          <w:tcPr>
            <w:tcW w:w="5220" w:type="dxa"/>
            <w:tcBorders>
              <w:top w:val="single" w:sz="8" w:space="0" w:color="auto"/>
              <w:bottom w:val="single" w:sz="8" w:space="0" w:color="auto"/>
            </w:tcBorders>
          </w:tcPr>
          <w:p w14:paraId="673C51FA" w14:textId="77777777" w:rsidR="00905A19" w:rsidRPr="00905A19" w:rsidRDefault="00905A19" w:rsidP="00905A19">
            <w:pPr>
              <w:pStyle w:val="ListParagraph"/>
              <w:numPr>
                <w:ilvl w:val="0"/>
                <w:numId w:val="2"/>
              </w:numPr>
              <w:rPr>
                <w:rFonts w:cstheme="minorHAnsi"/>
                <w:sz w:val="18"/>
                <w:szCs w:val="20"/>
              </w:rPr>
            </w:pPr>
            <w:r w:rsidRPr="00905A19">
              <w:rPr>
                <w:rFonts w:cstheme="minorHAnsi"/>
                <w:sz w:val="18"/>
                <w:szCs w:val="20"/>
              </w:rPr>
              <w:t>Limited to 80 hours per week, averaged over a four-week period, inclusive of all in-house clinical and educational activities, clinical work done from home, and all moonlighting</w:t>
            </w:r>
          </w:p>
          <w:p w14:paraId="1021D976" w14:textId="77777777" w:rsidR="00905A19" w:rsidRPr="00905A19" w:rsidRDefault="00905A19" w:rsidP="00905A19">
            <w:pPr>
              <w:pStyle w:val="ListParagraph"/>
              <w:numPr>
                <w:ilvl w:val="0"/>
                <w:numId w:val="2"/>
              </w:numPr>
              <w:rPr>
                <w:rFonts w:cstheme="minorHAnsi"/>
                <w:sz w:val="18"/>
                <w:szCs w:val="20"/>
              </w:rPr>
            </w:pPr>
            <w:r w:rsidRPr="00905A19">
              <w:rPr>
                <w:rFonts w:cstheme="minorHAnsi"/>
                <w:sz w:val="18"/>
                <w:szCs w:val="20"/>
              </w:rPr>
              <w:t>Design an effective program structure that is configured to provide resident/fellows with educational opportunities, as well as reasonable opportunities for rest and personal well-being</w:t>
            </w:r>
          </w:p>
          <w:p w14:paraId="7DA03E15" w14:textId="77777777" w:rsidR="00905A19" w:rsidRPr="00905A19" w:rsidRDefault="00905A19" w:rsidP="00905A19">
            <w:pPr>
              <w:pStyle w:val="ListParagraph"/>
              <w:numPr>
                <w:ilvl w:val="0"/>
                <w:numId w:val="2"/>
              </w:numPr>
              <w:rPr>
                <w:rFonts w:cstheme="minorHAnsi"/>
                <w:sz w:val="18"/>
                <w:szCs w:val="20"/>
              </w:rPr>
            </w:pPr>
            <w:r w:rsidRPr="00905A19">
              <w:rPr>
                <w:rFonts w:cstheme="minorHAnsi"/>
                <w:sz w:val="18"/>
                <w:szCs w:val="20"/>
              </w:rPr>
              <w:t>Schedule for a minimum of one day in seven free of clinical work and education (when averaged over 4 weeks. At-home call cannot be assigned on these free days.</w:t>
            </w:r>
          </w:p>
          <w:p w14:paraId="077AB101" w14:textId="77777777" w:rsidR="00905A19" w:rsidRPr="00905A19" w:rsidRDefault="00905A19" w:rsidP="00905A19">
            <w:pPr>
              <w:pStyle w:val="ListParagraph"/>
              <w:numPr>
                <w:ilvl w:val="0"/>
                <w:numId w:val="2"/>
              </w:numPr>
              <w:rPr>
                <w:rFonts w:cstheme="minorHAnsi"/>
                <w:sz w:val="18"/>
                <w:szCs w:val="20"/>
              </w:rPr>
            </w:pPr>
            <w:r w:rsidRPr="00905A19">
              <w:rPr>
                <w:rFonts w:cstheme="minorHAnsi"/>
                <w:sz w:val="18"/>
                <w:szCs w:val="20"/>
              </w:rPr>
              <w:t>Clinical and educational work periods for resident/fellows must not exceed 24 hours of continuous scheduled clinical assignments</w:t>
            </w:r>
          </w:p>
          <w:p w14:paraId="08E53322" w14:textId="77777777" w:rsidR="00905A19" w:rsidRPr="00905A19" w:rsidRDefault="00905A19" w:rsidP="00905A19">
            <w:pPr>
              <w:pStyle w:val="ListParagraph"/>
              <w:numPr>
                <w:ilvl w:val="0"/>
                <w:numId w:val="2"/>
              </w:numPr>
              <w:rPr>
                <w:rFonts w:cstheme="minorHAnsi"/>
                <w:sz w:val="18"/>
                <w:szCs w:val="20"/>
              </w:rPr>
            </w:pPr>
            <w:r w:rsidRPr="00905A19">
              <w:rPr>
                <w:rFonts w:cstheme="minorHAnsi"/>
                <w:sz w:val="18"/>
                <w:szCs w:val="20"/>
              </w:rPr>
              <w:lastRenderedPageBreak/>
              <w:t>Resident/fellows must have at least 14 hours free of clinical work and education after 24 hours of in-house call</w:t>
            </w:r>
          </w:p>
          <w:p w14:paraId="5BE74291" w14:textId="77777777" w:rsidR="00905A19" w:rsidRPr="00905A19" w:rsidRDefault="00905A19" w:rsidP="00905A19">
            <w:pPr>
              <w:pStyle w:val="ListParagraph"/>
              <w:numPr>
                <w:ilvl w:val="0"/>
                <w:numId w:val="2"/>
              </w:numPr>
              <w:rPr>
                <w:rFonts w:cstheme="minorHAnsi"/>
                <w:sz w:val="18"/>
                <w:szCs w:val="20"/>
              </w:rPr>
            </w:pPr>
            <w:r w:rsidRPr="00905A19">
              <w:rPr>
                <w:rFonts w:cstheme="minorHAnsi"/>
                <w:sz w:val="18"/>
                <w:szCs w:val="20"/>
              </w:rPr>
              <w:t>Night float must occur within the context of the 80-hour, and one-day-off-in-seven requirements</w:t>
            </w:r>
          </w:p>
          <w:p w14:paraId="51F19CC0" w14:textId="77777777" w:rsidR="00905A19" w:rsidRPr="00905A19" w:rsidRDefault="00905A19" w:rsidP="00905A19">
            <w:pPr>
              <w:pStyle w:val="ListParagraph"/>
              <w:numPr>
                <w:ilvl w:val="0"/>
                <w:numId w:val="2"/>
              </w:numPr>
              <w:rPr>
                <w:rFonts w:cstheme="minorHAnsi"/>
                <w:sz w:val="18"/>
                <w:szCs w:val="20"/>
              </w:rPr>
            </w:pPr>
            <w:r w:rsidRPr="00905A19">
              <w:rPr>
                <w:rFonts w:cstheme="minorHAnsi"/>
                <w:sz w:val="18"/>
                <w:szCs w:val="20"/>
              </w:rPr>
              <w:t>Resident/fellows must be scheduled for in-house call no more frequently than every 3</w:t>
            </w:r>
            <w:r w:rsidRPr="00905A19">
              <w:rPr>
                <w:rFonts w:cstheme="minorHAnsi"/>
                <w:sz w:val="18"/>
                <w:szCs w:val="20"/>
                <w:vertAlign w:val="superscript"/>
              </w:rPr>
              <w:t>rd</w:t>
            </w:r>
            <w:r w:rsidRPr="00905A19">
              <w:rPr>
                <w:rFonts w:cstheme="minorHAnsi"/>
                <w:sz w:val="18"/>
                <w:szCs w:val="20"/>
              </w:rPr>
              <w:t xml:space="preserve"> night (when averaged over a four-week period)</w:t>
            </w:r>
          </w:p>
        </w:tc>
        <w:tc>
          <w:tcPr>
            <w:tcW w:w="3600" w:type="dxa"/>
            <w:tcBorders>
              <w:top w:val="single" w:sz="8" w:space="0" w:color="auto"/>
              <w:bottom w:val="single" w:sz="8" w:space="0" w:color="auto"/>
              <w:right w:val="single" w:sz="8" w:space="0" w:color="auto"/>
            </w:tcBorders>
          </w:tcPr>
          <w:p w14:paraId="3D17570E" w14:textId="77777777" w:rsidR="00905A19" w:rsidRPr="00905A19" w:rsidRDefault="00905A19" w:rsidP="00905A19">
            <w:pPr>
              <w:rPr>
                <w:rFonts w:cstheme="minorHAnsi"/>
                <w:sz w:val="18"/>
                <w:szCs w:val="20"/>
              </w:rPr>
            </w:pPr>
            <w:r w:rsidRPr="00905A19">
              <w:rPr>
                <w:rFonts w:cstheme="minorHAnsi"/>
                <w:sz w:val="18"/>
                <w:szCs w:val="20"/>
              </w:rPr>
              <w:lastRenderedPageBreak/>
              <w:t>Policy development assistance for program leadership:</w:t>
            </w:r>
          </w:p>
          <w:p w14:paraId="43737DBE" w14:textId="77777777" w:rsidR="00905A19" w:rsidRPr="00905A19" w:rsidRDefault="00905A19" w:rsidP="00905A19">
            <w:pPr>
              <w:pStyle w:val="ListParagraph"/>
              <w:numPr>
                <w:ilvl w:val="0"/>
                <w:numId w:val="3"/>
              </w:numPr>
              <w:rPr>
                <w:rFonts w:cstheme="minorHAnsi"/>
                <w:sz w:val="18"/>
                <w:szCs w:val="20"/>
              </w:rPr>
            </w:pPr>
            <w:r w:rsidRPr="00905A19">
              <w:rPr>
                <w:rFonts w:cstheme="minorHAnsi"/>
                <w:sz w:val="18"/>
                <w:szCs w:val="20"/>
              </w:rPr>
              <w:t>Guidelines for adhering to new clinical experience and education requirements</w:t>
            </w:r>
          </w:p>
          <w:p w14:paraId="40ABAAB4" w14:textId="77777777" w:rsidR="00905A19" w:rsidRPr="00905A19" w:rsidRDefault="00905A19" w:rsidP="004558F2">
            <w:pPr>
              <w:rPr>
                <w:rFonts w:cstheme="minorHAnsi"/>
                <w:sz w:val="18"/>
                <w:szCs w:val="20"/>
              </w:rPr>
            </w:pPr>
          </w:p>
        </w:tc>
      </w:tr>
    </w:tbl>
    <w:p w14:paraId="3C437D6F" w14:textId="77777777" w:rsidR="001C3308" w:rsidRDefault="001C3308" w:rsidP="00D41DD0">
      <w:pPr>
        <w:spacing w:after="200" w:line="276" w:lineRule="auto"/>
        <w:rPr>
          <w:rFonts w:ascii="Arial" w:hAnsi="Arial" w:cs="Arial"/>
          <w:b/>
        </w:rPr>
      </w:pPr>
    </w:p>
    <w:p w14:paraId="042FD07D" w14:textId="77777777" w:rsidR="00BB2CCC" w:rsidRPr="00D41DD0" w:rsidRDefault="001C3308" w:rsidP="00D41DD0">
      <w:pPr>
        <w:spacing w:after="200" w:line="276" w:lineRule="auto"/>
        <w:rPr>
          <w:rFonts w:ascii="Arial" w:hAnsi="Arial" w:cs="Arial"/>
          <w:b/>
        </w:rPr>
      </w:pPr>
      <w:r>
        <w:rPr>
          <w:rFonts w:ascii="Arial" w:hAnsi="Arial" w:cs="Arial"/>
          <w:b/>
        </w:rPr>
        <w:t>S</w:t>
      </w:r>
      <w:r w:rsidR="00BB2CCC" w:rsidRPr="00D41DD0">
        <w:rPr>
          <w:rFonts w:ascii="Arial" w:hAnsi="Arial" w:cs="Arial"/>
          <w:b/>
        </w:rPr>
        <w:t xml:space="preserve">uggested Best Practices: </w:t>
      </w:r>
    </w:p>
    <w:p w14:paraId="395DF1A0" w14:textId="77777777" w:rsidR="00BB2CCC" w:rsidRPr="00D41DD0" w:rsidRDefault="00BB2CCC" w:rsidP="00D41DD0">
      <w:pPr>
        <w:pStyle w:val="ListParagraph"/>
        <w:numPr>
          <w:ilvl w:val="0"/>
          <w:numId w:val="15"/>
        </w:numPr>
        <w:spacing w:after="0"/>
        <w:rPr>
          <w:rFonts w:ascii="Arial" w:hAnsi="Arial" w:cs="Arial"/>
        </w:rPr>
      </w:pPr>
      <w:r w:rsidRPr="00D41DD0">
        <w:rPr>
          <w:rFonts w:ascii="Arial" w:hAnsi="Arial" w:cs="Arial"/>
          <w:b/>
        </w:rPr>
        <w:t>Include</w:t>
      </w:r>
      <w:r w:rsidRPr="00D41DD0">
        <w:rPr>
          <w:rFonts w:ascii="Arial" w:hAnsi="Arial" w:cs="Arial"/>
        </w:rPr>
        <w:t xml:space="preserve"> in you</w:t>
      </w:r>
      <w:r w:rsidR="002114FA">
        <w:rPr>
          <w:rFonts w:ascii="Arial" w:hAnsi="Arial" w:cs="Arial"/>
        </w:rPr>
        <w:t>r</w:t>
      </w:r>
      <w:r w:rsidRPr="00D41DD0">
        <w:rPr>
          <w:rFonts w:ascii="Arial" w:hAnsi="Arial" w:cs="Arial"/>
        </w:rPr>
        <w:t xml:space="preserve"> AIR </w:t>
      </w:r>
      <w:r w:rsidR="00D41DD0" w:rsidRPr="00D41DD0">
        <w:rPr>
          <w:rFonts w:ascii="Arial" w:hAnsi="Arial" w:cs="Arial"/>
        </w:rPr>
        <w:t>report to ensure that the needed resources to implement these changes are discussed and included in your planning for the next academic year</w:t>
      </w:r>
    </w:p>
    <w:p w14:paraId="640B5307" w14:textId="77777777" w:rsidR="00BB2CCC" w:rsidRPr="00D41DD0" w:rsidRDefault="00D41DD0" w:rsidP="00D41DD0">
      <w:pPr>
        <w:pStyle w:val="ListParagraph"/>
        <w:numPr>
          <w:ilvl w:val="0"/>
          <w:numId w:val="15"/>
        </w:numPr>
        <w:spacing w:after="0"/>
        <w:rPr>
          <w:rFonts w:ascii="Arial" w:hAnsi="Arial" w:cs="Arial"/>
        </w:rPr>
      </w:pPr>
      <w:r w:rsidRPr="00D41DD0">
        <w:rPr>
          <w:rFonts w:ascii="Arial" w:hAnsi="Arial" w:cs="Arial"/>
          <w:b/>
        </w:rPr>
        <w:t>Bring</w:t>
      </w:r>
      <w:r w:rsidRPr="00D41DD0">
        <w:rPr>
          <w:rFonts w:ascii="Arial" w:hAnsi="Arial" w:cs="Arial"/>
        </w:rPr>
        <w:t xml:space="preserve"> to GMEC in order to discuss the institutional infrastructure that will need to be in place to support the programs as they implement these changes</w:t>
      </w:r>
    </w:p>
    <w:p w14:paraId="217D0D76" w14:textId="77777777" w:rsidR="00D41DD0" w:rsidRDefault="00D41DD0" w:rsidP="00D41DD0">
      <w:pPr>
        <w:pStyle w:val="ListParagraph"/>
        <w:numPr>
          <w:ilvl w:val="0"/>
          <w:numId w:val="15"/>
        </w:numPr>
        <w:spacing w:after="0"/>
        <w:rPr>
          <w:rFonts w:ascii="Arial" w:hAnsi="Arial" w:cs="Arial"/>
        </w:rPr>
      </w:pPr>
      <w:r w:rsidRPr="00D41DD0">
        <w:rPr>
          <w:rFonts w:ascii="Arial" w:hAnsi="Arial" w:cs="Arial"/>
          <w:b/>
        </w:rPr>
        <w:t>Provide</w:t>
      </w:r>
      <w:r w:rsidRPr="00D41DD0">
        <w:rPr>
          <w:rFonts w:ascii="Arial" w:hAnsi="Arial" w:cs="Arial"/>
        </w:rPr>
        <w:t xml:space="preserve"> to program leadership as a “snapshot of the changes” as they plan for the next academic year</w:t>
      </w:r>
    </w:p>
    <w:p w14:paraId="557A1A25" w14:textId="77777777" w:rsidR="00D41DD0" w:rsidRDefault="00D41DD0" w:rsidP="00D41DD0">
      <w:pPr>
        <w:spacing w:after="0"/>
        <w:rPr>
          <w:rFonts w:ascii="Arial" w:hAnsi="Arial" w:cs="Arial"/>
        </w:rPr>
      </w:pPr>
    </w:p>
    <w:p w14:paraId="4849D2B6" w14:textId="77777777" w:rsidR="00D41DD0" w:rsidRDefault="00D41DD0" w:rsidP="00D41DD0">
      <w:pPr>
        <w:spacing w:after="0"/>
        <w:rPr>
          <w:sz w:val="20"/>
        </w:rPr>
      </w:pPr>
      <w:r w:rsidRPr="00D41DD0">
        <w:rPr>
          <w:sz w:val="20"/>
        </w:rPr>
        <w:t xml:space="preserve">NOTE: The 45-day Review and Comment period for proposed revisions to Section VI of the Common Program Requirements has ended. Comments will be considered when preparing the final proposed requirements for review by the ACGME Board of Directors in February 2017. If approved, the new/revised requirements (Section VI only) will be shared with the graduate medical education community, with an effective date targeted for the 2017-2018 academic year.  </w:t>
      </w:r>
    </w:p>
    <w:p w14:paraId="53255EB7" w14:textId="77777777" w:rsidR="00D41DD0" w:rsidRPr="00D41DD0" w:rsidRDefault="00D41DD0" w:rsidP="00D41DD0">
      <w:pPr>
        <w:spacing w:after="0"/>
        <w:rPr>
          <w:sz w:val="20"/>
        </w:rPr>
      </w:pPr>
    </w:p>
    <w:p w14:paraId="5BAF8113" w14:textId="77777777" w:rsidR="00D41DD0" w:rsidRPr="00D41DD0" w:rsidRDefault="00D41DD0" w:rsidP="00D41DD0">
      <w:pPr>
        <w:spacing w:after="0"/>
        <w:jc w:val="center"/>
        <w:rPr>
          <w:rFonts w:ascii="Arial" w:hAnsi="Arial" w:cs="Arial"/>
          <w:b/>
          <w:sz w:val="20"/>
        </w:rPr>
      </w:pPr>
      <w:r w:rsidRPr="00D41DD0">
        <w:rPr>
          <w:rFonts w:ascii="Arial" w:hAnsi="Arial" w:cs="Arial"/>
          <w:b/>
          <w:sz w:val="20"/>
        </w:rPr>
        <w:t>This grid was compiled using the proposed revisions as originally outlined to help facilitate preparation.</w:t>
      </w:r>
    </w:p>
    <w:p w14:paraId="76F793A2" w14:textId="77777777" w:rsidR="00D41DD0" w:rsidRPr="00D41DD0" w:rsidRDefault="00D41DD0" w:rsidP="00D41DD0">
      <w:pPr>
        <w:spacing w:after="0"/>
        <w:rPr>
          <w:rFonts w:ascii="Arial" w:hAnsi="Arial" w:cs="Arial"/>
        </w:rPr>
      </w:pPr>
    </w:p>
    <w:sectPr w:rsidR="00D41DD0" w:rsidRPr="00D41DD0" w:rsidSect="00905A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A305B" w14:textId="77777777" w:rsidR="005C0DC6" w:rsidRDefault="005C0DC6" w:rsidP="00191522">
      <w:pPr>
        <w:spacing w:after="0" w:line="240" w:lineRule="auto"/>
      </w:pPr>
      <w:r>
        <w:separator/>
      </w:r>
    </w:p>
  </w:endnote>
  <w:endnote w:type="continuationSeparator" w:id="0">
    <w:p w14:paraId="43BD1AE6" w14:textId="77777777" w:rsidR="005C0DC6" w:rsidRDefault="005C0DC6" w:rsidP="00191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9DBB0" w14:textId="77777777" w:rsidR="005C0DC6" w:rsidRDefault="005C0DC6" w:rsidP="00191522">
      <w:pPr>
        <w:spacing w:after="0" w:line="240" w:lineRule="auto"/>
      </w:pPr>
      <w:r>
        <w:separator/>
      </w:r>
    </w:p>
  </w:footnote>
  <w:footnote w:type="continuationSeparator" w:id="0">
    <w:p w14:paraId="4531FD0D" w14:textId="77777777" w:rsidR="005C0DC6" w:rsidRDefault="005C0DC6" w:rsidP="0019152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B47E9"/>
    <w:multiLevelType w:val="hybridMultilevel"/>
    <w:tmpl w:val="075CC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8556D3"/>
    <w:multiLevelType w:val="hybridMultilevel"/>
    <w:tmpl w:val="CB867A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0C2EE8"/>
    <w:multiLevelType w:val="hybridMultilevel"/>
    <w:tmpl w:val="6B1C7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B538A7"/>
    <w:multiLevelType w:val="hybridMultilevel"/>
    <w:tmpl w:val="20A6C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5044AF5"/>
    <w:multiLevelType w:val="hybridMultilevel"/>
    <w:tmpl w:val="5F6AC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AE105B"/>
    <w:multiLevelType w:val="hybridMultilevel"/>
    <w:tmpl w:val="5C827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C61E4A"/>
    <w:multiLevelType w:val="hybridMultilevel"/>
    <w:tmpl w:val="5DCE0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D5B16DA"/>
    <w:multiLevelType w:val="hybridMultilevel"/>
    <w:tmpl w:val="510A6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DCB4EA6"/>
    <w:multiLevelType w:val="hybridMultilevel"/>
    <w:tmpl w:val="09AC8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03E18D3"/>
    <w:multiLevelType w:val="hybridMultilevel"/>
    <w:tmpl w:val="2FB6D3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EC91E86"/>
    <w:multiLevelType w:val="hybridMultilevel"/>
    <w:tmpl w:val="50FC6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4887F1C"/>
    <w:multiLevelType w:val="hybridMultilevel"/>
    <w:tmpl w:val="2CB80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5AB2DAC"/>
    <w:multiLevelType w:val="hybridMultilevel"/>
    <w:tmpl w:val="DDDA9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D5A5B6D"/>
    <w:multiLevelType w:val="hybridMultilevel"/>
    <w:tmpl w:val="4F7EF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E4101A2"/>
    <w:multiLevelType w:val="hybridMultilevel"/>
    <w:tmpl w:val="BB16E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6F019CE"/>
    <w:multiLevelType w:val="hybridMultilevel"/>
    <w:tmpl w:val="61765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1"/>
  </w:num>
  <w:num w:numId="4">
    <w:abstractNumId w:val="5"/>
  </w:num>
  <w:num w:numId="5">
    <w:abstractNumId w:val="8"/>
  </w:num>
  <w:num w:numId="6">
    <w:abstractNumId w:val="3"/>
  </w:num>
  <w:num w:numId="7">
    <w:abstractNumId w:val="13"/>
  </w:num>
  <w:num w:numId="8">
    <w:abstractNumId w:val="0"/>
  </w:num>
  <w:num w:numId="9">
    <w:abstractNumId w:val="14"/>
  </w:num>
  <w:num w:numId="10">
    <w:abstractNumId w:val="7"/>
  </w:num>
  <w:num w:numId="11">
    <w:abstractNumId w:val="10"/>
  </w:num>
  <w:num w:numId="12">
    <w:abstractNumId w:val="11"/>
  </w:num>
  <w:num w:numId="13">
    <w:abstractNumId w:val="6"/>
  </w:num>
  <w:num w:numId="14">
    <w:abstractNumId w:val="15"/>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A19"/>
    <w:rsid w:val="00056427"/>
    <w:rsid w:val="001710BF"/>
    <w:rsid w:val="001874B4"/>
    <w:rsid w:val="00191522"/>
    <w:rsid w:val="00196AFD"/>
    <w:rsid w:val="001C3308"/>
    <w:rsid w:val="002114FA"/>
    <w:rsid w:val="002419C0"/>
    <w:rsid w:val="003779C6"/>
    <w:rsid w:val="004B364A"/>
    <w:rsid w:val="00541003"/>
    <w:rsid w:val="005A7407"/>
    <w:rsid w:val="005C0DC6"/>
    <w:rsid w:val="00690B00"/>
    <w:rsid w:val="00720AA0"/>
    <w:rsid w:val="008175A1"/>
    <w:rsid w:val="00905A19"/>
    <w:rsid w:val="00BB2CCC"/>
    <w:rsid w:val="00C53704"/>
    <w:rsid w:val="00CD1A76"/>
    <w:rsid w:val="00D41DD0"/>
    <w:rsid w:val="00E1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039EA"/>
  <w15:docId w15:val="{DC0B43FC-B0F7-49CC-8C70-55888B1B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4B4"/>
  </w:style>
  <w:style w:type="paragraph" w:styleId="Heading1">
    <w:name w:val="heading 1"/>
    <w:basedOn w:val="Normal"/>
    <w:next w:val="Normal"/>
    <w:link w:val="Heading1Char"/>
    <w:uiPriority w:val="9"/>
    <w:qFormat/>
    <w:rsid w:val="001874B4"/>
    <w:pPr>
      <w:keepNext/>
      <w:keepLines/>
      <w:pBdr>
        <w:bottom w:val="single" w:sz="4" w:space="1" w:color="3D7F3F" w:themeColor="accent1"/>
      </w:pBdr>
      <w:spacing w:before="400" w:after="40" w:line="240" w:lineRule="auto"/>
      <w:outlineLvl w:val="0"/>
    </w:pPr>
    <w:rPr>
      <w:rFonts w:asciiTheme="majorHAnsi" w:eastAsiaTheme="majorEastAsia" w:hAnsiTheme="majorHAnsi" w:cstheme="majorBidi"/>
      <w:color w:val="2D5F2F" w:themeColor="accent1" w:themeShade="BF"/>
      <w:sz w:val="36"/>
      <w:szCs w:val="36"/>
    </w:rPr>
  </w:style>
  <w:style w:type="paragraph" w:styleId="Heading2">
    <w:name w:val="heading 2"/>
    <w:basedOn w:val="Normal"/>
    <w:next w:val="Normal"/>
    <w:link w:val="Heading2Char"/>
    <w:uiPriority w:val="9"/>
    <w:semiHidden/>
    <w:unhideWhenUsed/>
    <w:qFormat/>
    <w:rsid w:val="001874B4"/>
    <w:pPr>
      <w:keepNext/>
      <w:keepLines/>
      <w:spacing w:before="160" w:after="0" w:line="240" w:lineRule="auto"/>
      <w:outlineLvl w:val="1"/>
    </w:pPr>
    <w:rPr>
      <w:rFonts w:asciiTheme="majorHAnsi" w:eastAsiaTheme="majorEastAsia" w:hAnsiTheme="majorHAnsi" w:cstheme="majorBidi"/>
      <w:color w:val="2D5F2F" w:themeColor="accent1" w:themeShade="BF"/>
      <w:sz w:val="28"/>
      <w:szCs w:val="28"/>
    </w:rPr>
  </w:style>
  <w:style w:type="paragraph" w:styleId="Heading3">
    <w:name w:val="heading 3"/>
    <w:basedOn w:val="Normal"/>
    <w:next w:val="Normal"/>
    <w:link w:val="Heading3Char"/>
    <w:uiPriority w:val="9"/>
    <w:semiHidden/>
    <w:unhideWhenUsed/>
    <w:qFormat/>
    <w:rsid w:val="001874B4"/>
    <w:pPr>
      <w:keepNext/>
      <w:keepLines/>
      <w:spacing w:before="80" w:after="0" w:line="240" w:lineRule="auto"/>
      <w:outlineLvl w:val="2"/>
    </w:pPr>
    <w:rPr>
      <w:rFonts w:asciiTheme="majorHAnsi" w:eastAsiaTheme="majorEastAsia" w:hAnsiTheme="majorHAnsi" w:cstheme="majorBidi"/>
      <w:color w:val="5BB05E" w:themeColor="text1" w:themeTint="BF"/>
      <w:sz w:val="26"/>
      <w:szCs w:val="26"/>
    </w:rPr>
  </w:style>
  <w:style w:type="paragraph" w:styleId="Heading4">
    <w:name w:val="heading 4"/>
    <w:basedOn w:val="Normal"/>
    <w:next w:val="Normal"/>
    <w:link w:val="Heading4Char"/>
    <w:uiPriority w:val="9"/>
    <w:semiHidden/>
    <w:unhideWhenUsed/>
    <w:qFormat/>
    <w:rsid w:val="001874B4"/>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1874B4"/>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1874B4"/>
    <w:pPr>
      <w:keepNext/>
      <w:keepLines/>
      <w:spacing w:before="80" w:after="0"/>
      <w:outlineLvl w:val="5"/>
    </w:pPr>
    <w:rPr>
      <w:rFonts w:asciiTheme="majorHAnsi" w:eastAsiaTheme="majorEastAsia" w:hAnsiTheme="majorHAnsi" w:cstheme="majorBidi"/>
      <w:color w:val="71BB73" w:themeColor="text1" w:themeTint="A6"/>
    </w:rPr>
  </w:style>
  <w:style w:type="paragraph" w:styleId="Heading7">
    <w:name w:val="heading 7"/>
    <w:basedOn w:val="Normal"/>
    <w:next w:val="Normal"/>
    <w:link w:val="Heading7Char"/>
    <w:uiPriority w:val="9"/>
    <w:semiHidden/>
    <w:unhideWhenUsed/>
    <w:qFormat/>
    <w:rsid w:val="001874B4"/>
    <w:pPr>
      <w:keepNext/>
      <w:keepLines/>
      <w:spacing w:before="80" w:after="0"/>
      <w:outlineLvl w:val="6"/>
    </w:pPr>
    <w:rPr>
      <w:rFonts w:asciiTheme="majorHAnsi" w:eastAsiaTheme="majorEastAsia" w:hAnsiTheme="majorHAnsi" w:cstheme="majorBidi"/>
      <w:i/>
      <w:iCs/>
      <w:color w:val="71BB73" w:themeColor="text1" w:themeTint="A6"/>
    </w:rPr>
  </w:style>
  <w:style w:type="paragraph" w:styleId="Heading8">
    <w:name w:val="heading 8"/>
    <w:basedOn w:val="Normal"/>
    <w:next w:val="Normal"/>
    <w:link w:val="Heading8Char"/>
    <w:uiPriority w:val="9"/>
    <w:semiHidden/>
    <w:unhideWhenUsed/>
    <w:qFormat/>
    <w:rsid w:val="001874B4"/>
    <w:pPr>
      <w:keepNext/>
      <w:keepLines/>
      <w:spacing w:before="80" w:after="0"/>
      <w:outlineLvl w:val="7"/>
    </w:pPr>
    <w:rPr>
      <w:rFonts w:asciiTheme="majorHAnsi" w:eastAsiaTheme="majorEastAsia" w:hAnsiTheme="majorHAnsi" w:cstheme="majorBidi"/>
      <w:smallCaps/>
      <w:color w:val="71BB73" w:themeColor="text1" w:themeTint="A6"/>
    </w:rPr>
  </w:style>
  <w:style w:type="paragraph" w:styleId="Heading9">
    <w:name w:val="heading 9"/>
    <w:basedOn w:val="Normal"/>
    <w:next w:val="Normal"/>
    <w:link w:val="Heading9Char"/>
    <w:uiPriority w:val="9"/>
    <w:semiHidden/>
    <w:unhideWhenUsed/>
    <w:qFormat/>
    <w:rsid w:val="001874B4"/>
    <w:pPr>
      <w:keepNext/>
      <w:keepLines/>
      <w:spacing w:before="80" w:after="0"/>
      <w:outlineLvl w:val="8"/>
    </w:pPr>
    <w:rPr>
      <w:rFonts w:asciiTheme="majorHAnsi" w:eastAsiaTheme="majorEastAsia" w:hAnsiTheme="majorHAnsi" w:cstheme="majorBidi"/>
      <w:i/>
      <w:iCs/>
      <w:smallCaps/>
      <w:color w:val="71BB73"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A19"/>
    <w:pPr>
      <w:ind w:left="720"/>
      <w:contextualSpacing/>
    </w:pPr>
  </w:style>
  <w:style w:type="table" w:customStyle="1" w:styleId="GridTable4-Accent51">
    <w:name w:val="Grid Table 4 - Accent 51"/>
    <w:basedOn w:val="TableNormal"/>
    <w:uiPriority w:val="49"/>
    <w:rsid w:val="00905A19"/>
    <w:pPr>
      <w:spacing w:after="0" w:line="240" w:lineRule="auto"/>
    </w:pPr>
    <w:tblPr>
      <w:tblStyleRowBandSize w:val="1"/>
      <w:tblStyleColBandSize w:val="1"/>
      <w:tblInd w:w="0" w:type="dxa"/>
      <w:tblBorders>
        <w:top w:val="single" w:sz="4" w:space="0" w:color="7CC07E" w:themeColor="accent5" w:themeTint="99"/>
        <w:left w:val="single" w:sz="4" w:space="0" w:color="7CC07E" w:themeColor="accent5" w:themeTint="99"/>
        <w:bottom w:val="single" w:sz="4" w:space="0" w:color="7CC07E" w:themeColor="accent5" w:themeTint="99"/>
        <w:right w:val="single" w:sz="4" w:space="0" w:color="7CC07E" w:themeColor="accent5" w:themeTint="99"/>
        <w:insideH w:val="single" w:sz="4" w:space="0" w:color="7CC07E" w:themeColor="accent5" w:themeTint="99"/>
        <w:insideV w:val="single" w:sz="4" w:space="0" w:color="7CC07E"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D7F3F" w:themeColor="accent5"/>
          <w:left w:val="single" w:sz="4" w:space="0" w:color="3D7F3F" w:themeColor="accent5"/>
          <w:bottom w:val="single" w:sz="4" w:space="0" w:color="3D7F3F" w:themeColor="accent5"/>
          <w:right w:val="single" w:sz="4" w:space="0" w:color="3D7F3F" w:themeColor="accent5"/>
          <w:insideH w:val="nil"/>
          <w:insideV w:val="nil"/>
        </w:tcBorders>
        <w:shd w:val="clear" w:color="auto" w:fill="3D7F3F" w:themeFill="accent5"/>
      </w:tcPr>
    </w:tblStylePr>
    <w:tblStylePr w:type="lastRow">
      <w:rPr>
        <w:b/>
        <w:bCs/>
      </w:rPr>
      <w:tblPr/>
      <w:tcPr>
        <w:tcBorders>
          <w:top w:val="double" w:sz="4" w:space="0" w:color="3D7F3F" w:themeColor="accent5"/>
        </w:tcBorders>
      </w:tcPr>
    </w:tblStylePr>
    <w:tblStylePr w:type="firstCol">
      <w:rPr>
        <w:b/>
        <w:bCs/>
      </w:rPr>
    </w:tblStylePr>
    <w:tblStylePr w:type="lastCol">
      <w:rPr>
        <w:b/>
        <w:bCs/>
      </w:rPr>
    </w:tblStylePr>
    <w:tblStylePr w:type="band1Vert">
      <w:tblPr/>
      <w:tcPr>
        <w:shd w:val="clear" w:color="auto" w:fill="D3EAD3" w:themeFill="accent5" w:themeFillTint="33"/>
      </w:tcPr>
    </w:tblStylePr>
    <w:tblStylePr w:type="band1Horz">
      <w:tblPr/>
      <w:tcPr>
        <w:shd w:val="clear" w:color="auto" w:fill="D3EAD3" w:themeFill="accent5" w:themeFillTint="33"/>
      </w:tcPr>
    </w:tblStylePr>
  </w:style>
  <w:style w:type="paragraph" w:styleId="Header">
    <w:name w:val="header"/>
    <w:basedOn w:val="Normal"/>
    <w:link w:val="HeaderChar"/>
    <w:uiPriority w:val="99"/>
    <w:unhideWhenUsed/>
    <w:rsid w:val="00191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522"/>
    <w:rPr>
      <w:rFonts w:eastAsiaTheme="minorEastAsia"/>
    </w:rPr>
  </w:style>
  <w:style w:type="paragraph" w:styleId="Footer">
    <w:name w:val="footer"/>
    <w:basedOn w:val="Normal"/>
    <w:link w:val="FooterChar"/>
    <w:uiPriority w:val="99"/>
    <w:unhideWhenUsed/>
    <w:rsid w:val="00191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522"/>
    <w:rPr>
      <w:rFonts w:eastAsiaTheme="minorEastAsia"/>
    </w:rPr>
  </w:style>
  <w:style w:type="paragraph" w:styleId="BalloonText">
    <w:name w:val="Balloon Text"/>
    <w:basedOn w:val="Normal"/>
    <w:link w:val="BalloonTextChar"/>
    <w:uiPriority w:val="99"/>
    <w:semiHidden/>
    <w:unhideWhenUsed/>
    <w:rsid w:val="00D4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DD0"/>
    <w:rPr>
      <w:rFonts w:ascii="Tahoma" w:eastAsiaTheme="minorEastAsia" w:hAnsi="Tahoma" w:cs="Tahoma"/>
      <w:sz w:val="16"/>
      <w:szCs w:val="16"/>
    </w:rPr>
  </w:style>
  <w:style w:type="table" w:styleId="LightList-Accent3">
    <w:name w:val="Light List Accent 3"/>
    <w:basedOn w:val="TableNormal"/>
    <w:uiPriority w:val="61"/>
    <w:rsid w:val="00D41DD0"/>
    <w:pPr>
      <w:spacing w:after="0" w:line="240" w:lineRule="auto"/>
    </w:pPr>
    <w:tblPr>
      <w:tblStyleRowBandSize w:val="1"/>
      <w:tblStyleColBandSize w:val="1"/>
      <w:tblInd w:w="0" w:type="dxa"/>
      <w:tblBorders>
        <w:top w:val="single" w:sz="8" w:space="0" w:color="3D7F3F" w:themeColor="accent3"/>
        <w:left w:val="single" w:sz="8" w:space="0" w:color="3D7F3F" w:themeColor="accent3"/>
        <w:bottom w:val="single" w:sz="8" w:space="0" w:color="3D7F3F" w:themeColor="accent3"/>
        <w:right w:val="single" w:sz="8" w:space="0" w:color="3D7F3F"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D7F3F" w:themeFill="accent3"/>
      </w:tcPr>
    </w:tblStylePr>
    <w:tblStylePr w:type="lastRow">
      <w:pPr>
        <w:spacing w:before="0" w:after="0" w:line="240" w:lineRule="auto"/>
      </w:pPr>
      <w:rPr>
        <w:b/>
        <w:bCs/>
      </w:rPr>
      <w:tblPr/>
      <w:tcPr>
        <w:tcBorders>
          <w:top w:val="double" w:sz="6" w:space="0" w:color="3D7F3F" w:themeColor="accent3"/>
          <w:left w:val="single" w:sz="8" w:space="0" w:color="3D7F3F" w:themeColor="accent3"/>
          <w:bottom w:val="single" w:sz="8" w:space="0" w:color="3D7F3F" w:themeColor="accent3"/>
          <w:right w:val="single" w:sz="8" w:space="0" w:color="3D7F3F" w:themeColor="accent3"/>
        </w:tcBorders>
      </w:tcPr>
    </w:tblStylePr>
    <w:tblStylePr w:type="firstCol">
      <w:rPr>
        <w:b/>
        <w:bCs/>
      </w:rPr>
    </w:tblStylePr>
    <w:tblStylePr w:type="lastCol">
      <w:rPr>
        <w:b/>
        <w:bCs/>
      </w:rPr>
    </w:tblStylePr>
    <w:tblStylePr w:type="band1Vert">
      <w:tblPr/>
      <w:tcPr>
        <w:tcBorders>
          <w:top w:val="single" w:sz="8" w:space="0" w:color="3D7F3F" w:themeColor="accent3"/>
          <w:left w:val="single" w:sz="8" w:space="0" w:color="3D7F3F" w:themeColor="accent3"/>
          <w:bottom w:val="single" w:sz="8" w:space="0" w:color="3D7F3F" w:themeColor="accent3"/>
          <w:right w:val="single" w:sz="8" w:space="0" w:color="3D7F3F" w:themeColor="accent3"/>
        </w:tcBorders>
      </w:tcPr>
    </w:tblStylePr>
    <w:tblStylePr w:type="band1Horz">
      <w:tblPr/>
      <w:tcPr>
        <w:tcBorders>
          <w:top w:val="single" w:sz="8" w:space="0" w:color="3D7F3F" w:themeColor="accent3"/>
          <w:left w:val="single" w:sz="8" w:space="0" w:color="3D7F3F" w:themeColor="accent3"/>
          <w:bottom w:val="single" w:sz="8" w:space="0" w:color="3D7F3F" w:themeColor="accent3"/>
          <w:right w:val="single" w:sz="8" w:space="0" w:color="3D7F3F" w:themeColor="accent3"/>
        </w:tcBorders>
      </w:tcPr>
    </w:tblStylePr>
  </w:style>
  <w:style w:type="table" w:styleId="MediumList1-Accent3">
    <w:name w:val="Medium List 1 Accent 3"/>
    <w:basedOn w:val="TableNormal"/>
    <w:uiPriority w:val="65"/>
    <w:rsid w:val="00D41DD0"/>
    <w:pPr>
      <w:spacing w:after="0" w:line="240" w:lineRule="auto"/>
    </w:pPr>
    <w:rPr>
      <w:color w:val="3D7F3F" w:themeColor="text1"/>
    </w:rPr>
    <w:tblPr>
      <w:tblStyleRowBandSize w:val="1"/>
      <w:tblStyleColBandSize w:val="1"/>
      <w:tblInd w:w="0" w:type="dxa"/>
      <w:tblBorders>
        <w:top w:val="single" w:sz="8" w:space="0" w:color="3D7F3F" w:themeColor="accent3"/>
        <w:bottom w:val="single" w:sz="8" w:space="0" w:color="3D7F3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D7F3F" w:themeColor="accent3"/>
        </w:tcBorders>
      </w:tcPr>
    </w:tblStylePr>
    <w:tblStylePr w:type="lastRow">
      <w:rPr>
        <w:b/>
        <w:bCs/>
        <w:color w:val="3D7F3F" w:themeColor="text2"/>
      </w:rPr>
      <w:tblPr/>
      <w:tcPr>
        <w:tcBorders>
          <w:top w:val="single" w:sz="8" w:space="0" w:color="3D7F3F" w:themeColor="accent3"/>
          <w:bottom w:val="single" w:sz="8" w:space="0" w:color="3D7F3F" w:themeColor="accent3"/>
        </w:tcBorders>
      </w:tcPr>
    </w:tblStylePr>
    <w:tblStylePr w:type="firstCol">
      <w:rPr>
        <w:b/>
        <w:bCs/>
      </w:rPr>
    </w:tblStylePr>
    <w:tblStylePr w:type="lastCol">
      <w:rPr>
        <w:b/>
        <w:bCs/>
      </w:rPr>
      <w:tblPr/>
      <w:tcPr>
        <w:tcBorders>
          <w:top w:val="single" w:sz="8" w:space="0" w:color="3D7F3F" w:themeColor="accent3"/>
          <w:bottom w:val="single" w:sz="8" w:space="0" w:color="3D7F3F" w:themeColor="accent3"/>
        </w:tcBorders>
      </w:tcPr>
    </w:tblStylePr>
    <w:tblStylePr w:type="band1Vert">
      <w:tblPr/>
      <w:tcPr>
        <w:shd w:val="clear" w:color="auto" w:fill="C9E5C9" w:themeFill="accent3" w:themeFillTint="3F"/>
      </w:tcPr>
    </w:tblStylePr>
    <w:tblStylePr w:type="band1Horz">
      <w:tblPr/>
      <w:tcPr>
        <w:shd w:val="clear" w:color="auto" w:fill="C9E5C9" w:themeFill="accent3" w:themeFillTint="3F"/>
      </w:tcPr>
    </w:tblStylePr>
  </w:style>
  <w:style w:type="table" w:styleId="MediumShading1-Accent3">
    <w:name w:val="Medium Shading 1 Accent 3"/>
    <w:basedOn w:val="TableNormal"/>
    <w:uiPriority w:val="63"/>
    <w:rsid w:val="00D41DD0"/>
    <w:pPr>
      <w:spacing w:after="0" w:line="240" w:lineRule="auto"/>
    </w:pPr>
    <w:tblPr>
      <w:tblStyleRowBandSize w:val="1"/>
      <w:tblStyleColBandSize w:val="1"/>
      <w:tblInd w:w="0" w:type="dxa"/>
      <w:tblBorders>
        <w:top w:val="single" w:sz="8" w:space="0" w:color="5BB05E" w:themeColor="accent3" w:themeTint="BF"/>
        <w:left w:val="single" w:sz="8" w:space="0" w:color="5BB05E" w:themeColor="accent3" w:themeTint="BF"/>
        <w:bottom w:val="single" w:sz="8" w:space="0" w:color="5BB05E" w:themeColor="accent3" w:themeTint="BF"/>
        <w:right w:val="single" w:sz="8" w:space="0" w:color="5BB05E" w:themeColor="accent3" w:themeTint="BF"/>
        <w:insideH w:val="single" w:sz="8" w:space="0" w:color="5BB05E"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BB05E" w:themeColor="accent3" w:themeTint="BF"/>
          <w:left w:val="single" w:sz="8" w:space="0" w:color="5BB05E" w:themeColor="accent3" w:themeTint="BF"/>
          <w:bottom w:val="single" w:sz="8" w:space="0" w:color="5BB05E" w:themeColor="accent3" w:themeTint="BF"/>
          <w:right w:val="single" w:sz="8" w:space="0" w:color="5BB05E" w:themeColor="accent3" w:themeTint="BF"/>
          <w:insideH w:val="nil"/>
          <w:insideV w:val="nil"/>
        </w:tcBorders>
        <w:shd w:val="clear" w:color="auto" w:fill="3D7F3F" w:themeFill="accent3"/>
      </w:tcPr>
    </w:tblStylePr>
    <w:tblStylePr w:type="lastRow">
      <w:pPr>
        <w:spacing w:before="0" w:after="0" w:line="240" w:lineRule="auto"/>
      </w:pPr>
      <w:rPr>
        <w:b/>
        <w:bCs/>
      </w:rPr>
      <w:tblPr/>
      <w:tcPr>
        <w:tcBorders>
          <w:top w:val="double" w:sz="6" w:space="0" w:color="5BB05E" w:themeColor="accent3" w:themeTint="BF"/>
          <w:left w:val="single" w:sz="8" w:space="0" w:color="5BB05E" w:themeColor="accent3" w:themeTint="BF"/>
          <w:bottom w:val="single" w:sz="8" w:space="0" w:color="5BB05E" w:themeColor="accent3" w:themeTint="BF"/>
          <w:right w:val="single" w:sz="8" w:space="0" w:color="5BB0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E5C9" w:themeFill="accent3" w:themeFillTint="3F"/>
      </w:tcPr>
    </w:tblStylePr>
    <w:tblStylePr w:type="band1Horz">
      <w:tblPr/>
      <w:tcPr>
        <w:tcBorders>
          <w:insideH w:val="nil"/>
          <w:insideV w:val="nil"/>
        </w:tcBorders>
        <w:shd w:val="clear" w:color="auto" w:fill="C9E5C9" w:themeFill="accent3"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1874B4"/>
    <w:rPr>
      <w:rFonts w:asciiTheme="majorHAnsi" w:eastAsiaTheme="majorEastAsia" w:hAnsiTheme="majorHAnsi" w:cstheme="majorBidi"/>
      <w:color w:val="2D5F2F" w:themeColor="accent1" w:themeShade="BF"/>
      <w:sz w:val="36"/>
      <w:szCs w:val="36"/>
    </w:rPr>
  </w:style>
  <w:style w:type="character" w:customStyle="1" w:styleId="Heading2Char">
    <w:name w:val="Heading 2 Char"/>
    <w:basedOn w:val="DefaultParagraphFont"/>
    <w:link w:val="Heading2"/>
    <w:uiPriority w:val="9"/>
    <w:semiHidden/>
    <w:rsid w:val="001874B4"/>
    <w:rPr>
      <w:rFonts w:asciiTheme="majorHAnsi" w:eastAsiaTheme="majorEastAsia" w:hAnsiTheme="majorHAnsi" w:cstheme="majorBidi"/>
      <w:color w:val="2D5F2F" w:themeColor="accent1" w:themeShade="BF"/>
      <w:sz w:val="28"/>
      <w:szCs w:val="28"/>
    </w:rPr>
  </w:style>
  <w:style w:type="character" w:customStyle="1" w:styleId="Heading3Char">
    <w:name w:val="Heading 3 Char"/>
    <w:basedOn w:val="DefaultParagraphFont"/>
    <w:link w:val="Heading3"/>
    <w:uiPriority w:val="9"/>
    <w:semiHidden/>
    <w:rsid w:val="001874B4"/>
    <w:rPr>
      <w:rFonts w:asciiTheme="majorHAnsi" w:eastAsiaTheme="majorEastAsia" w:hAnsiTheme="majorHAnsi" w:cstheme="majorBidi"/>
      <w:color w:val="5BB05E" w:themeColor="text1" w:themeTint="BF"/>
      <w:sz w:val="26"/>
      <w:szCs w:val="26"/>
    </w:rPr>
  </w:style>
  <w:style w:type="character" w:customStyle="1" w:styleId="Heading4Char">
    <w:name w:val="Heading 4 Char"/>
    <w:basedOn w:val="DefaultParagraphFont"/>
    <w:link w:val="Heading4"/>
    <w:uiPriority w:val="9"/>
    <w:semiHidden/>
    <w:rsid w:val="001874B4"/>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1874B4"/>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1874B4"/>
    <w:rPr>
      <w:rFonts w:asciiTheme="majorHAnsi" w:eastAsiaTheme="majorEastAsia" w:hAnsiTheme="majorHAnsi" w:cstheme="majorBidi"/>
      <w:color w:val="71BB73" w:themeColor="text1" w:themeTint="A6"/>
    </w:rPr>
  </w:style>
  <w:style w:type="character" w:customStyle="1" w:styleId="Heading7Char">
    <w:name w:val="Heading 7 Char"/>
    <w:basedOn w:val="DefaultParagraphFont"/>
    <w:link w:val="Heading7"/>
    <w:uiPriority w:val="9"/>
    <w:semiHidden/>
    <w:rsid w:val="001874B4"/>
    <w:rPr>
      <w:rFonts w:asciiTheme="majorHAnsi" w:eastAsiaTheme="majorEastAsia" w:hAnsiTheme="majorHAnsi" w:cstheme="majorBidi"/>
      <w:i/>
      <w:iCs/>
      <w:color w:val="71BB73" w:themeColor="text1" w:themeTint="A6"/>
    </w:rPr>
  </w:style>
  <w:style w:type="character" w:customStyle="1" w:styleId="Heading8Char">
    <w:name w:val="Heading 8 Char"/>
    <w:basedOn w:val="DefaultParagraphFont"/>
    <w:link w:val="Heading8"/>
    <w:uiPriority w:val="9"/>
    <w:semiHidden/>
    <w:rsid w:val="001874B4"/>
    <w:rPr>
      <w:rFonts w:asciiTheme="majorHAnsi" w:eastAsiaTheme="majorEastAsia" w:hAnsiTheme="majorHAnsi" w:cstheme="majorBidi"/>
      <w:smallCaps/>
      <w:color w:val="71BB73" w:themeColor="text1" w:themeTint="A6"/>
    </w:rPr>
  </w:style>
  <w:style w:type="character" w:customStyle="1" w:styleId="Heading9Char">
    <w:name w:val="Heading 9 Char"/>
    <w:basedOn w:val="DefaultParagraphFont"/>
    <w:link w:val="Heading9"/>
    <w:uiPriority w:val="9"/>
    <w:semiHidden/>
    <w:rsid w:val="001874B4"/>
    <w:rPr>
      <w:rFonts w:asciiTheme="majorHAnsi" w:eastAsiaTheme="majorEastAsia" w:hAnsiTheme="majorHAnsi" w:cstheme="majorBidi"/>
      <w:i/>
      <w:iCs/>
      <w:smallCaps/>
      <w:color w:val="71BB73" w:themeColor="text1" w:themeTint="A6"/>
    </w:rPr>
  </w:style>
  <w:style w:type="paragraph" w:styleId="Caption">
    <w:name w:val="caption"/>
    <w:basedOn w:val="Normal"/>
    <w:next w:val="Normal"/>
    <w:uiPriority w:val="35"/>
    <w:semiHidden/>
    <w:unhideWhenUsed/>
    <w:qFormat/>
    <w:rsid w:val="001874B4"/>
    <w:pPr>
      <w:spacing w:line="240" w:lineRule="auto"/>
    </w:pPr>
    <w:rPr>
      <w:b/>
      <w:bCs/>
      <w:color w:val="5BB05E" w:themeColor="text1" w:themeTint="BF"/>
      <w:sz w:val="20"/>
      <w:szCs w:val="20"/>
    </w:rPr>
  </w:style>
  <w:style w:type="paragraph" w:styleId="Title">
    <w:name w:val="Title"/>
    <w:basedOn w:val="Normal"/>
    <w:next w:val="Normal"/>
    <w:link w:val="TitleChar"/>
    <w:uiPriority w:val="10"/>
    <w:qFormat/>
    <w:rsid w:val="001874B4"/>
    <w:pPr>
      <w:spacing w:after="0" w:line="240" w:lineRule="auto"/>
      <w:contextualSpacing/>
    </w:pPr>
    <w:rPr>
      <w:rFonts w:asciiTheme="majorHAnsi" w:eastAsiaTheme="majorEastAsia" w:hAnsiTheme="majorHAnsi" w:cstheme="majorBidi"/>
      <w:color w:val="2D5F2F" w:themeColor="accent1" w:themeShade="BF"/>
      <w:spacing w:val="-7"/>
      <w:sz w:val="80"/>
      <w:szCs w:val="80"/>
    </w:rPr>
  </w:style>
  <w:style w:type="character" w:customStyle="1" w:styleId="TitleChar">
    <w:name w:val="Title Char"/>
    <w:basedOn w:val="DefaultParagraphFont"/>
    <w:link w:val="Title"/>
    <w:uiPriority w:val="10"/>
    <w:rsid w:val="001874B4"/>
    <w:rPr>
      <w:rFonts w:asciiTheme="majorHAnsi" w:eastAsiaTheme="majorEastAsia" w:hAnsiTheme="majorHAnsi" w:cstheme="majorBidi"/>
      <w:color w:val="2D5F2F" w:themeColor="accent1" w:themeShade="BF"/>
      <w:spacing w:val="-7"/>
      <w:sz w:val="80"/>
      <w:szCs w:val="80"/>
    </w:rPr>
  </w:style>
  <w:style w:type="paragraph" w:styleId="Subtitle">
    <w:name w:val="Subtitle"/>
    <w:basedOn w:val="Normal"/>
    <w:next w:val="Normal"/>
    <w:link w:val="SubtitleChar"/>
    <w:uiPriority w:val="11"/>
    <w:qFormat/>
    <w:rsid w:val="001874B4"/>
    <w:pPr>
      <w:numPr>
        <w:ilvl w:val="1"/>
      </w:numPr>
      <w:spacing w:after="240" w:line="240" w:lineRule="auto"/>
    </w:pPr>
    <w:rPr>
      <w:rFonts w:asciiTheme="majorHAnsi" w:eastAsiaTheme="majorEastAsia" w:hAnsiTheme="majorHAnsi" w:cstheme="majorBidi"/>
      <w:color w:val="5BB05E" w:themeColor="text1" w:themeTint="BF"/>
      <w:sz w:val="30"/>
      <w:szCs w:val="30"/>
    </w:rPr>
  </w:style>
  <w:style w:type="character" w:customStyle="1" w:styleId="SubtitleChar">
    <w:name w:val="Subtitle Char"/>
    <w:basedOn w:val="DefaultParagraphFont"/>
    <w:link w:val="Subtitle"/>
    <w:uiPriority w:val="11"/>
    <w:rsid w:val="001874B4"/>
    <w:rPr>
      <w:rFonts w:asciiTheme="majorHAnsi" w:eastAsiaTheme="majorEastAsia" w:hAnsiTheme="majorHAnsi" w:cstheme="majorBidi"/>
      <w:color w:val="5BB05E" w:themeColor="text1" w:themeTint="BF"/>
      <w:sz w:val="30"/>
      <w:szCs w:val="30"/>
    </w:rPr>
  </w:style>
  <w:style w:type="character" w:styleId="Strong">
    <w:name w:val="Strong"/>
    <w:basedOn w:val="DefaultParagraphFont"/>
    <w:uiPriority w:val="22"/>
    <w:qFormat/>
    <w:rsid w:val="001874B4"/>
    <w:rPr>
      <w:b/>
      <w:bCs/>
    </w:rPr>
  </w:style>
  <w:style w:type="character" w:styleId="Emphasis">
    <w:name w:val="Emphasis"/>
    <w:basedOn w:val="DefaultParagraphFont"/>
    <w:uiPriority w:val="20"/>
    <w:qFormat/>
    <w:rsid w:val="001874B4"/>
    <w:rPr>
      <w:i/>
      <w:iCs/>
    </w:rPr>
  </w:style>
  <w:style w:type="paragraph" w:styleId="NoSpacing">
    <w:name w:val="No Spacing"/>
    <w:uiPriority w:val="1"/>
    <w:qFormat/>
    <w:rsid w:val="001874B4"/>
    <w:pPr>
      <w:spacing w:after="0" w:line="240" w:lineRule="auto"/>
    </w:pPr>
  </w:style>
  <w:style w:type="paragraph" w:styleId="Quote">
    <w:name w:val="Quote"/>
    <w:basedOn w:val="Normal"/>
    <w:next w:val="Normal"/>
    <w:link w:val="QuoteChar"/>
    <w:uiPriority w:val="29"/>
    <w:qFormat/>
    <w:rsid w:val="001874B4"/>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1874B4"/>
    <w:rPr>
      <w:i/>
      <w:iCs/>
    </w:rPr>
  </w:style>
  <w:style w:type="paragraph" w:styleId="IntenseQuote">
    <w:name w:val="Intense Quote"/>
    <w:basedOn w:val="Normal"/>
    <w:next w:val="Normal"/>
    <w:link w:val="IntenseQuoteChar"/>
    <w:uiPriority w:val="30"/>
    <w:qFormat/>
    <w:rsid w:val="001874B4"/>
    <w:pPr>
      <w:spacing w:before="100" w:beforeAutospacing="1" w:after="240"/>
      <w:ind w:left="864" w:right="864"/>
      <w:jc w:val="center"/>
    </w:pPr>
    <w:rPr>
      <w:rFonts w:asciiTheme="majorHAnsi" w:eastAsiaTheme="majorEastAsia" w:hAnsiTheme="majorHAnsi" w:cstheme="majorBidi"/>
      <w:color w:val="3D7F3F" w:themeColor="accent1"/>
      <w:sz w:val="28"/>
      <w:szCs w:val="28"/>
    </w:rPr>
  </w:style>
  <w:style w:type="character" w:customStyle="1" w:styleId="IntenseQuoteChar">
    <w:name w:val="Intense Quote Char"/>
    <w:basedOn w:val="DefaultParagraphFont"/>
    <w:link w:val="IntenseQuote"/>
    <w:uiPriority w:val="30"/>
    <w:rsid w:val="001874B4"/>
    <w:rPr>
      <w:rFonts w:asciiTheme="majorHAnsi" w:eastAsiaTheme="majorEastAsia" w:hAnsiTheme="majorHAnsi" w:cstheme="majorBidi"/>
      <w:color w:val="3D7F3F" w:themeColor="accent1"/>
      <w:sz w:val="28"/>
      <w:szCs w:val="28"/>
    </w:rPr>
  </w:style>
  <w:style w:type="character" w:styleId="SubtleEmphasis">
    <w:name w:val="Subtle Emphasis"/>
    <w:basedOn w:val="DefaultParagraphFont"/>
    <w:uiPriority w:val="19"/>
    <w:qFormat/>
    <w:rsid w:val="001874B4"/>
    <w:rPr>
      <w:i/>
      <w:iCs/>
      <w:color w:val="71BB73" w:themeColor="text1" w:themeTint="A6"/>
    </w:rPr>
  </w:style>
  <w:style w:type="character" w:styleId="IntenseEmphasis">
    <w:name w:val="Intense Emphasis"/>
    <w:basedOn w:val="DefaultParagraphFont"/>
    <w:uiPriority w:val="21"/>
    <w:qFormat/>
    <w:rsid w:val="001874B4"/>
    <w:rPr>
      <w:b/>
      <w:bCs/>
      <w:i/>
      <w:iCs/>
    </w:rPr>
  </w:style>
  <w:style w:type="character" w:styleId="SubtleReference">
    <w:name w:val="Subtle Reference"/>
    <w:basedOn w:val="DefaultParagraphFont"/>
    <w:uiPriority w:val="31"/>
    <w:qFormat/>
    <w:rsid w:val="001874B4"/>
    <w:rPr>
      <w:smallCaps/>
      <w:color w:val="5BB05E" w:themeColor="text1" w:themeTint="BF"/>
    </w:rPr>
  </w:style>
  <w:style w:type="character" w:styleId="IntenseReference">
    <w:name w:val="Intense Reference"/>
    <w:basedOn w:val="DefaultParagraphFont"/>
    <w:uiPriority w:val="32"/>
    <w:qFormat/>
    <w:rsid w:val="001874B4"/>
    <w:rPr>
      <w:b/>
      <w:bCs/>
      <w:smallCaps/>
      <w:u w:val="single"/>
    </w:rPr>
  </w:style>
  <w:style w:type="character" w:styleId="BookTitle">
    <w:name w:val="Book Title"/>
    <w:basedOn w:val="DefaultParagraphFont"/>
    <w:uiPriority w:val="33"/>
    <w:qFormat/>
    <w:rsid w:val="001874B4"/>
    <w:rPr>
      <w:b/>
      <w:bCs/>
      <w:smallCaps/>
    </w:rPr>
  </w:style>
  <w:style w:type="paragraph" w:styleId="TOCHeading">
    <w:name w:val="TOC Heading"/>
    <w:basedOn w:val="Heading1"/>
    <w:next w:val="Normal"/>
    <w:uiPriority w:val="39"/>
    <w:semiHidden/>
    <w:unhideWhenUsed/>
    <w:qFormat/>
    <w:rsid w:val="001874B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Custom 7">
      <a:dk1>
        <a:srgbClr val="3D7F3F"/>
      </a:dk1>
      <a:lt1>
        <a:sysClr val="window" lastClr="FFFFFF"/>
      </a:lt1>
      <a:dk2>
        <a:srgbClr val="3D7F3F"/>
      </a:dk2>
      <a:lt2>
        <a:srgbClr val="3D7F3F"/>
      </a:lt2>
      <a:accent1>
        <a:srgbClr val="3D7F3F"/>
      </a:accent1>
      <a:accent2>
        <a:srgbClr val="3D7F3F"/>
      </a:accent2>
      <a:accent3>
        <a:srgbClr val="3D7F3F"/>
      </a:accent3>
      <a:accent4>
        <a:srgbClr val="3D7F3F"/>
      </a:accent4>
      <a:accent5>
        <a:srgbClr val="3D7F3F"/>
      </a:accent5>
      <a:accent6>
        <a:srgbClr val="3D7F3F"/>
      </a:accent6>
      <a:hlink>
        <a:srgbClr val="3D7F3F"/>
      </a:hlink>
      <a:folHlink>
        <a:srgbClr val="3D7F3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CCCDF-4A7E-054A-B18C-A8E122DD9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1365</Words>
  <Characters>7783</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Children's Hospital Central California</Company>
  <LinksUpToDate>false</LinksUpToDate>
  <CharactersWithSpaces>9130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Peters Harvey</dc:creator>
  <cp:lastModifiedBy>Microsoft Office User</cp:lastModifiedBy>
  <cp:revision>2</cp:revision>
  <dcterms:created xsi:type="dcterms:W3CDTF">2017-03-21T18:11:00Z</dcterms:created>
  <dcterms:modified xsi:type="dcterms:W3CDTF">2017-03-21T18:11:00Z</dcterms:modified>
</cp:coreProperties>
</file>