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5C98" w:rsidRDefault="008A5C98" w:rsidP="008A5C98">
      <w:pPr>
        <w:jc w:val="center"/>
      </w:pPr>
      <w:r w:rsidRPr="00AD76DB">
        <w:rPr>
          <w:b/>
          <w:sz w:val="28"/>
        </w:rPr>
        <w:t>Milestone Averages—June 2014</w:t>
      </w:r>
      <w:bookmarkStart w:id="0" w:name="_GoBack"/>
      <w:bookmarkEnd w:id="0"/>
    </w:p>
    <w:p w:rsidR="00B4336A" w:rsidRPr="008A5C98" w:rsidRDefault="00AD76DB" w:rsidP="008A5C98">
      <w:r>
        <w:rPr>
          <w:noProof/>
        </w:rPr>
        <w:drawing>
          <wp:inline distT="0" distB="0" distL="0" distR="0" wp14:anchorId="6CDEDD7A" wp14:editId="7D5EC0F2">
            <wp:extent cx="6195695" cy="2743200"/>
            <wp:effectExtent l="0" t="0" r="14605" b="0"/>
            <wp:docPr id="1" name="Chart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tbl>
      <w:tblPr>
        <w:tblW w:w="9848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308"/>
        <w:gridCol w:w="885"/>
        <w:gridCol w:w="885"/>
        <w:gridCol w:w="885"/>
        <w:gridCol w:w="885"/>
      </w:tblGrid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Times New Roman" w:eastAsia="Times New Roman" w:hAnsi="Times New Roman" w:cs="Times New Roman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PGY-1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PGY-2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PGY-3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PGY-4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Averages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Averages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Averages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Averages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Antepartum Care and Complications of Pregnancy — PC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Care of Patients in the Intrapartum Period — PC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Care of Patients in the Postpartum Period — PC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Obstetrical Technical Skills — PC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Gynecology Technical Skills: Laparotomy — PC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A908C5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Gynecology Technical Skills: Vaginal Surgery — PC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  <w:r w:rsidR="00A908C5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Gynecology Technical Skills: Endoscopy — PC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proofErr w:type="spellStart"/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Peri</w:t>
            </w:r>
            <w:proofErr w:type="spellEnd"/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-operative Care — MK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Abdominal/Pelvic Pain (Acute and Chronic) — MK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A908C5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3.0</w:t>
            </w:r>
            <w:r w:rsidR="00B4336A"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Abnormal Uterine Bleeding (Acute and Chronic) — MK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A908C5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3.4</w:t>
            </w:r>
            <w:r w:rsidR="00B4336A"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Pelvic Mass — MK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A908C5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Pelvic Floor Disorders – MK5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A908C5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First Trimester Bleeding — MK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Family Planning — PC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8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Ambulatory Gynecology — PC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Care of the Patient with Non-Reproductive Medical Disorders — PC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10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Health Care Maintenance and Disease Prevention — MK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7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Patient Safety and Systems Approach to Medical Errors — SBP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Cost-effective Care and Patient Advocacy — SBP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Self-directed Learning/Critical Appraisal of Medical Literature — PBLI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4.0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Quality Improvement Process— PBLI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4.2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Compassion, Integrity, and Respect for Others — Prof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Accountability &amp; Responsiveness to the Needs of Patients, Society, &amp; the Profession — Prof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4.5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Respect for Patient Privacy, Autonomy, Patient-Physician Relationship — Prof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Communication with Patients and Families — ICS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1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Communication with Physicians and Other Health Professionals and Teamwork — ICS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1.9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3.3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</w:t>
            </w:r>
          </w:p>
        </w:tc>
      </w:tr>
      <w:tr w:rsidR="00B4336A" w:rsidRPr="00B4336A" w:rsidTr="00B4336A">
        <w:trPr>
          <w:trHeight w:val="240"/>
        </w:trPr>
        <w:tc>
          <w:tcPr>
            <w:tcW w:w="6308" w:type="dxa"/>
            <w:shd w:val="clear" w:color="auto" w:fill="auto"/>
            <w:vAlign w:val="center"/>
            <w:hideMark/>
          </w:tcPr>
          <w:p w:rsidR="00B4336A" w:rsidRPr="00B4336A" w:rsidRDefault="00B4336A" w:rsidP="00B4336A">
            <w:pPr>
              <w:spacing w:after="0" w:line="240" w:lineRule="auto"/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Informed Consent and Shared Decision Making — ICS</w:t>
            </w:r>
            <w:r>
              <w:rPr>
                <w:rFonts w:ascii="Calibri" w:eastAsia="Times New Roman" w:hAnsi="Calibri" w:cs="Times New Roman"/>
                <w:color w:val="2D2D2D"/>
                <w:sz w:val="16"/>
                <w:szCs w:val="16"/>
              </w:rPr>
              <w:t>2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1.6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2.4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3.5</w:t>
            </w:r>
          </w:p>
        </w:tc>
        <w:tc>
          <w:tcPr>
            <w:tcW w:w="885" w:type="dxa"/>
            <w:shd w:val="clear" w:color="auto" w:fill="auto"/>
            <w:noWrap/>
            <w:vAlign w:val="bottom"/>
            <w:hideMark/>
          </w:tcPr>
          <w:p w:rsidR="00B4336A" w:rsidRPr="00B4336A" w:rsidRDefault="00B4336A" w:rsidP="00B4336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</w:pPr>
            <w:r w:rsidRPr="00B4336A">
              <w:rPr>
                <w:rFonts w:ascii="Calibri" w:eastAsia="Times New Roman" w:hAnsi="Calibri" w:cs="Times New Roman"/>
                <w:color w:val="000000"/>
                <w:sz w:val="16"/>
                <w:szCs w:val="16"/>
              </w:rPr>
              <w:t>4.3</w:t>
            </w:r>
          </w:p>
        </w:tc>
      </w:tr>
    </w:tbl>
    <w:p w:rsidR="00AD76DB" w:rsidRPr="00AD76DB" w:rsidRDefault="00AD76DB" w:rsidP="00AD76DB">
      <w:pPr>
        <w:jc w:val="center"/>
        <w:rPr>
          <w:b/>
          <w:sz w:val="28"/>
        </w:rPr>
      </w:pPr>
    </w:p>
    <w:sectPr w:rsidR="00AD76DB" w:rsidRPr="00AD76DB" w:rsidSect="00B433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76DB"/>
    <w:rsid w:val="00137B01"/>
    <w:rsid w:val="008A5C98"/>
    <w:rsid w:val="00A908C5"/>
    <w:rsid w:val="00AD76DB"/>
    <w:rsid w:val="00B4336A"/>
    <w:rsid w:val="00C22F17"/>
    <w:rsid w:val="00CE51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D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D76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D76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7590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hart" Target="charts/chart1.xml"/><Relationship Id="rId4" Type="http://schemas.openxmlformats.org/officeDocument/2006/relationships/webSettings" Target="webSettings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\\fs-staff\home$\obgyn\homes\hpeters\OB\Evaluations\2013-2014\OB%20May%20CCC\OB%20May%202014%20CCC%20Reports%20(faculty%20consensus)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Sheet1!$B$1:$B$2</c:f>
              <c:strCache>
                <c:ptCount val="2"/>
                <c:pt idx="0">
                  <c:v>PGY-1</c:v>
                </c:pt>
                <c:pt idx="1">
                  <c:v>AV</c:v>
                </c:pt>
              </c:strCache>
            </c:strRef>
          </c:tx>
          <c:marker>
            <c:symbol val="none"/>
          </c:marker>
          <c:cat>
            <c:strRef>
              <c:f>Sheet1!$A$3:$A$36</c:f>
              <c:strCache>
                <c:ptCount val="27"/>
                <c:pt idx="0">
                  <c:v>PC1</c:v>
                </c:pt>
                <c:pt idx="1">
                  <c:v>PC2</c:v>
                </c:pt>
                <c:pt idx="2">
                  <c:v>PC3</c:v>
                </c:pt>
                <c:pt idx="3">
                  <c:v>PC4</c:v>
                </c:pt>
                <c:pt idx="4">
                  <c:v>PC5</c:v>
                </c:pt>
                <c:pt idx="5">
                  <c:v>PC6</c:v>
                </c:pt>
                <c:pt idx="6">
                  <c:v>PC7</c:v>
                </c:pt>
                <c:pt idx="7">
                  <c:v>MK1</c:v>
                </c:pt>
                <c:pt idx="8">
                  <c:v>MK2</c:v>
                </c:pt>
                <c:pt idx="9">
                  <c:v>MK3</c:v>
                </c:pt>
                <c:pt idx="10">
                  <c:v>MK4</c:v>
                </c:pt>
                <c:pt idx="11">
                  <c:v>MK5</c:v>
                </c:pt>
                <c:pt idx="12">
                  <c:v>MK6</c:v>
                </c:pt>
                <c:pt idx="13">
                  <c:v>PC8</c:v>
                </c:pt>
                <c:pt idx="14">
                  <c:v>PC9</c:v>
                </c:pt>
                <c:pt idx="15">
                  <c:v>PC10</c:v>
                </c:pt>
                <c:pt idx="16">
                  <c:v>MK7</c:v>
                </c:pt>
                <c:pt idx="17">
                  <c:v>SBP1</c:v>
                </c:pt>
                <c:pt idx="18">
                  <c:v>SBP2</c:v>
                </c:pt>
                <c:pt idx="19">
                  <c:v>PBLI1</c:v>
                </c:pt>
                <c:pt idx="20">
                  <c:v>PBLI2</c:v>
                </c:pt>
                <c:pt idx="21">
                  <c:v>Prof1</c:v>
                </c:pt>
                <c:pt idx="22">
                  <c:v>Prof2</c:v>
                </c:pt>
                <c:pt idx="23">
                  <c:v>Prof3</c:v>
                </c:pt>
                <c:pt idx="24">
                  <c:v>ICS1</c:v>
                </c:pt>
                <c:pt idx="25">
                  <c:v>ICS2</c:v>
                </c:pt>
                <c:pt idx="26">
                  <c:v>ICS3</c:v>
                </c:pt>
              </c:strCache>
            </c:strRef>
          </c:cat>
          <c:val>
            <c:numRef>
              <c:f>Sheet1!$B$3:$B$36</c:f>
              <c:numCache>
                <c:formatCode>0.0</c:formatCode>
                <c:ptCount val="27"/>
                <c:pt idx="0">
                  <c:v>1.6</c:v>
                </c:pt>
                <c:pt idx="1">
                  <c:v>1.6458333333333335</c:v>
                </c:pt>
                <c:pt idx="2">
                  <c:v>1.5</c:v>
                </c:pt>
                <c:pt idx="3">
                  <c:v>2.0874999999999999</c:v>
                </c:pt>
                <c:pt idx="4">
                  <c:v>1.5</c:v>
                </c:pt>
                <c:pt idx="6">
                  <c:v>1.5</c:v>
                </c:pt>
                <c:pt idx="7">
                  <c:v>1.5</c:v>
                </c:pt>
                <c:pt idx="8">
                  <c:v>1.5</c:v>
                </c:pt>
                <c:pt idx="9">
                  <c:v>1.4821428571428572</c:v>
                </c:pt>
                <c:pt idx="10">
                  <c:v>1.5</c:v>
                </c:pt>
                <c:pt idx="12">
                  <c:v>1.5</c:v>
                </c:pt>
                <c:pt idx="13">
                  <c:v>1.5</c:v>
                </c:pt>
                <c:pt idx="14">
                  <c:v>1.5</c:v>
                </c:pt>
                <c:pt idx="15">
                  <c:v>1.625</c:v>
                </c:pt>
                <c:pt idx="16">
                  <c:v>1.625</c:v>
                </c:pt>
                <c:pt idx="17">
                  <c:v>1.5</c:v>
                </c:pt>
                <c:pt idx="18">
                  <c:v>1.6153846153846154</c:v>
                </c:pt>
                <c:pt idx="19">
                  <c:v>1.5</c:v>
                </c:pt>
                <c:pt idx="20">
                  <c:v>1.5</c:v>
                </c:pt>
                <c:pt idx="21">
                  <c:v>1.625</c:v>
                </c:pt>
                <c:pt idx="22">
                  <c:v>1.625</c:v>
                </c:pt>
                <c:pt idx="23">
                  <c:v>1.625</c:v>
                </c:pt>
                <c:pt idx="24">
                  <c:v>1.625</c:v>
                </c:pt>
                <c:pt idx="25">
                  <c:v>1.875</c:v>
                </c:pt>
                <c:pt idx="26">
                  <c:v>1.6346153846153846</c:v>
                </c:pt>
              </c:numCache>
            </c:numRef>
          </c:val>
          <c:smooth val="0"/>
        </c:ser>
        <c:ser>
          <c:idx val="1"/>
          <c:order val="1"/>
          <c:tx>
            <c:strRef>
              <c:f>Sheet1!$C$1:$C$2</c:f>
              <c:strCache>
                <c:ptCount val="2"/>
                <c:pt idx="0">
                  <c:v>PGY-2</c:v>
                </c:pt>
                <c:pt idx="1">
                  <c:v>AV</c:v>
                </c:pt>
              </c:strCache>
            </c:strRef>
          </c:tx>
          <c:marker>
            <c:symbol val="none"/>
          </c:marker>
          <c:cat>
            <c:strRef>
              <c:f>Sheet1!$A$3:$A$36</c:f>
              <c:strCache>
                <c:ptCount val="27"/>
                <c:pt idx="0">
                  <c:v>PC1</c:v>
                </c:pt>
                <c:pt idx="1">
                  <c:v>PC2</c:v>
                </c:pt>
                <c:pt idx="2">
                  <c:v>PC3</c:v>
                </c:pt>
                <c:pt idx="3">
                  <c:v>PC4</c:v>
                </c:pt>
                <c:pt idx="4">
                  <c:v>PC5</c:v>
                </c:pt>
                <c:pt idx="5">
                  <c:v>PC6</c:v>
                </c:pt>
                <c:pt idx="6">
                  <c:v>PC7</c:v>
                </c:pt>
                <c:pt idx="7">
                  <c:v>MK1</c:v>
                </c:pt>
                <c:pt idx="8">
                  <c:v>MK2</c:v>
                </c:pt>
                <c:pt idx="9">
                  <c:v>MK3</c:v>
                </c:pt>
                <c:pt idx="10">
                  <c:v>MK4</c:v>
                </c:pt>
                <c:pt idx="11">
                  <c:v>MK5</c:v>
                </c:pt>
                <c:pt idx="12">
                  <c:v>MK6</c:v>
                </c:pt>
                <c:pt idx="13">
                  <c:v>PC8</c:v>
                </c:pt>
                <c:pt idx="14">
                  <c:v>PC9</c:v>
                </c:pt>
                <c:pt idx="15">
                  <c:v>PC10</c:v>
                </c:pt>
                <c:pt idx="16">
                  <c:v>MK7</c:v>
                </c:pt>
                <c:pt idx="17">
                  <c:v>SBP1</c:v>
                </c:pt>
                <c:pt idx="18">
                  <c:v>SBP2</c:v>
                </c:pt>
                <c:pt idx="19">
                  <c:v>PBLI1</c:v>
                </c:pt>
                <c:pt idx="20">
                  <c:v>PBLI2</c:v>
                </c:pt>
                <c:pt idx="21">
                  <c:v>Prof1</c:v>
                </c:pt>
                <c:pt idx="22">
                  <c:v>Prof2</c:v>
                </c:pt>
                <c:pt idx="23">
                  <c:v>Prof3</c:v>
                </c:pt>
                <c:pt idx="24">
                  <c:v>ICS1</c:v>
                </c:pt>
                <c:pt idx="25">
                  <c:v>ICS2</c:v>
                </c:pt>
                <c:pt idx="26">
                  <c:v>ICS3</c:v>
                </c:pt>
              </c:strCache>
            </c:strRef>
          </c:cat>
          <c:val>
            <c:numRef>
              <c:f>Sheet1!$C$3:$C$36</c:f>
              <c:numCache>
                <c:formatCode>0.0</c:formatCode>
                <c:ptCount val="27"/>
                <c:pt idx="0">
                  <c:v>2.4</c:v>
                </c:pt>
                <c:pt idx="1">
                  <c:v>2.4</c:v>
                </c:pt>
                <c:pt idx="2">
                  <c:v>2.5</c:v>
                </c:pt>
                <c:pt idx="3">
                  <c:v>2.6</c:v>
                </c:pt>
                <c:pt idx="4">
                  <c:v>2</c:v>
                </c:pt>
                <c:pt idx="6">
                  <c:v>2</c:v>
                </c:pt>
                <c:pt idx="7">
                  <c:v>1.9</c:v>
                </c:pt>
                <c:pt idx="8">
                  <c:v>2.2000000000000002</c:v>
                </c:pt>
                <c:pt idx="9">
                  <c:v>2.2999999999999998</c:v>
                </c:pt>
                <c:pt idx="10">
                  <c:v>2</c:v>
                </c:pt>
                <c:pt idx="12">
                  <c:v>2.1</c:v>
                </c:pt>
                <c:pt idx="13">
                  <c:v>2.1</c:v>
                </c:pt>
                <c:pt idx="14">
                  <c:v>2.1</c:v>
                </c:pt>
                <c:pt idx="16">
                  <c:v>2.2999999999999998</c:v>
                </c:pt>
                <c:pt idx="17">
                  <c:v>2.2999999999999998</c:v>
                </c:pt>
                <c:pt idx="18">
                  <c:v>2.1</c:v>
                </c:pt>
                <c:pt idx="19">
                  <c:v>2.2999999999999998</c:v>
                </c:pt>
                <c:pt idx="20">
                  <c:v>2.2999999999999998</c:v>
                </c:pt>
                <c:pt idx="21">
                  <c:v>2.4</c:v>
                </c:pt>
                <c:pt idx="22">
                  <c:v>2.4</c:v>
                </c:pt>
                <c:pt idx="23">
                  <c:v>2.4</c:v>
                </c:pt>
                <c:pt idx="24">
                  <c:v>2.4</c:v>
                </c:pt>
                <c:pt idx="25">
                  <c:v>2.5</c:v>
                </c:pt>
                <c:pt idx="26">
                  <c:v>2.4</c:v>
                </c:pt>
              </c:numCache>
            </c:numRef>
          </c:val>
          <c:smooth val="0"/>
        </c:ser>
        <c:ser>
          <c:idx val="2"/>
          <c:order val="2"/>
          <c:tx>
            <c:strRef>
              <c:f>Sheet1!$D$1:$D$2</c:f>
              <c:strCache>
                <c:ptCount val="2"/>
                <c:pt idx="0">
                  <c:v>PGY-3</c:v>
                </c:pt>
                <c:pt idx="1">
                  <c:v>AV</c:v>
                </c:pt>
              </c:strCache>
            </c:strRef>
          </c:tx>
          <c:marker>
            <c:symbol val="none"/>
          </c:marker>
          <c:cat>
            <c:strRef>
              <c:f>Sheet1!$A$3:$A$36</c:f>
              <c:strCache>
                <c:ptCount val="27"/>
                <c:pt idx="0">
                  <c:v>PC1</c:v>
                </c:pt>
                <c:pt idx="1">
                  <c:v>PC2</c:v>
                </c:pt>
                <c:pt idx="2">
                  <c:v>PC3</c:v>
                </c:pt>
                <c:pt idx="3">
                  <c:v>PC4</c:v>
                </c:pt>
                <c:pt idx="4">
                  <c:v>PC5</c:v>
                </c:pt>
                <c:pt idx="5">
                  <c:v>PC6</c:v>
                </c:pt>
                <c:pt idx="6">
                  <c:v>PC7</c:v>
                </c:pt>
                <c:pt idx="7">
                  <c:v>MK1</c:v>
                </c:pt>
                <c:pt idx="8">
                  <c:v>MK2</c:v>
                </c:pt>
                <c:pt idx="9">
                  <c:v>MK3</c:v>
                </c:pt>
                <c:pt idx="10">
                  <c:v>MK4</c:v>
                </c:pt>
                <c:pt idx="11">
                  <c:v>MK5</c:v>
                </c:pt>
                <c:pt idx="12">
                  <c:v>MK6</c:v>
                </c:pt>
                <c:pt idx="13">
                  <c:v>PC8</c:v>
                </c:pt>
                <c:pt idx="14">
                  <c:v>PC9</c:v>
                </c:pt>
                <c:pt idx="15">
                  <c:v>PC10</c:v>
                </c:pt>
                <c:pt idx="16">
                  <c:v>MK7</c:v>
                </c:pt>
                <c:pt idx="17">
                  <c:v>SBP1</c:v>
                </c:pt>
                <c:pt idx="18">
                  <c:v>SBP2</c:v>
                </c:pt>
                <c:pt idx="19">
                  <c:v>PBLI1</c:v>
                </c:pt>
                <c:pt idx="20">
                  <c:v>PBLI2</c:v>
                </c:pt>
                <c:pt idx="21">
                  <c:v>Prof1</c:v>
                </c:pt>
                <c:pt idx="22">
                  <c:v>Prof2</c:v>
                </c:pt>
                <c:pt idx="23">
                  <c:v>Prof3</c:v>
                </c:pt>
                <c:pt idx="24">
                  <c:v>ICS1</c:v>
                </c:pt>
                <c:pt idx="25">
                  <c:v>ICS2</c:v>
                </c:pt>
                <c:pt idx="26">
                  <c:v>ICS3</c:v>
                </c:pt>
              </c:strCache>
            </c:strRef>
          </c:cat>
          <c:val>
            <c:numRef>
              <c:f>Sheet1!$D$3:$D$36</c:f>
              <c:numCache>
                <c:formatCode>General</c:formatCode>
                <c:ptCount val="27"/>
                <c:pt idx="0">
                  <c:v>3.3</c:v>
                </c:pt>
                <c:pt idx="1">
                  <c:v>3.3</c:v>
                </c:pt>
                <c:pt idx="2">
                  <c:v>3.5</c:v>
                </c:pt>
                <c:pt idx="3">
                  <c:v>3.5</c:v>
                </c:pt>
                <c:pt idx="4" formatCode="0.0">
                  <c:v>3</c:v>
                </c:pt>
                <c:pt idx="5">
                  <c:v>2.5</c:v>
                </c:pt>
                <c:pt idx="6" formatCode="0.0">
                  <c:v>3</c:v>
                </c:pt>
                <c:pt idx="7">
                  <c:v>3.2</c:v>
                </c:pt>
                <c:pt idx="8" formatCode="0.0">
                  <c:v>3</c:v>
                </c:pt>
                <c:pt idx="9" formatCode="0.0">
                  <c:v>3.4</c:v>
                </c:pt>
                <c:pt idx="10" formatCode="0.0">
                  <c:v>3.3</c:v>
                </c:pt>
                <c:pt idx="11" formatCode="0.0">
                  <c:v>3</c:v>
                </c:pt>
                <c:pt idx="12">
                  <c:v>3.3</c:v>
                </c:pt>
                <c:pt idx="13">
                  <c:v>3.5</c:v>
                </c:pt>
                <c:pt idx="14">
                  <c:v>3.3</c:v>
                </c:pt>
                <c:pt idx="15">
                  <c:v>3.2</c:v>
                </c:pt>
                <c:pt idx="16">
                  <c:v>3.2</c:v>
                </c:pt>
                <c:pt idx="17">
                  <c:v>3.3</c:v>
                </c:pt>
                <c:pt idx="18">
                  <c:v>3.3</c:v>
                </c:pt>
                <c:pt idx="19">
                  <c:v>3.3</c:v>
                </c:pt>
                <c:pt idx="20">
                  <c:v>3.3</c:v>
                </c:pt>
                <c:pt idx="21">
                  <c:v>3.2</c:v>
                </c:pt>
                <c:pt idx="22">
                  <c:v>3.5</c:v>
                </c:pt>
                <c:pt idx="23">
                  <c:v>3.5</c:v>
                </c:pt>
                <c:pt idx="24">
                  <c:v>3.2</c:v>
                </c:pt>
                <c:pt idx="25">
                  <c:v>3.3</c:v>
                </c:pt>
                <c:pt idx="26">
                  <c:v>3.5</c:v>
                </c:pt>
              </c:numCache>
            </c:numRef>
          </c:val>
          <c:smooth val="0"/>
        </c:ser>
        <c:ser>
          <c:idx val="3"/>
          <c:order val="3"/>
          <c:tx>
            <c:strRef>
              <c:f>Sheet1!$E$1:$E$2</c:f>
              <c:strCache>
                <c:ptCount val="2"/>
                <c:pt idx="0">
                  <c:v>PGY-4</c:v>
                </c:pt>
                <c:pt idx="1">
                  <c:v>AV</c:v>
                </c:pt>
              </c:strCache>
            </c:strRef>
          </c:tx>
          <c:marker>
            <c:symbol val="none"/>
          </c:marker>
          <c:cat>
            <c:strRef>
              <c:f>Sheet1!$A$3:$A$36</c:f>
              <c:strCache>
                <c:ptCount val="27"/>
                <c:pt idx="0">
                  <c:v>PC1</c:v>
                </c:pt>
                <c:pt idx="1">
                  <c:v>PC2</c:v>
                </c:pt>
                <c:pt idx="2">
                  <c:v>PC3</c:v>
                </c:pt>
                <c:pt idx="3">
                  <c:v>PC4</c:v>
                </c:pt>
                <c:pt idx="4">
                  <c:v>PC5</c:v>
                </c:pt>
                <c:pt idx="5">
                  <c:v>PC6</c:v>
                </c:pt>
                <c:pt idx="6">
                  <c:v>PC7</c:v>
                </c:pt>
                <c:pt idx="7">
                  <c:v>MK1</c:v>
                </c:pt>
                <c:pt idx="8">
                  <c:v>MK2</c:v>
                </c:pt>
                <c:pt idx="9">
                  <c:v>MK3</c:v>
                </c:pt>
                <c:pt idx="10">
                  <c:v>MK4</c:v>
                </c:pt>
                <c:pt idx="11">
                  <c:v>MK5</c:v>
                </c:pt>
                <c:pt idx="12">
                  <c:v>MK6</c:v>
                </c:pt>
                <c:pt idx="13">
                  <c:v>PC8</c:v>
                </c:pt>
                <c:pt idx="14">
                  <c:v>PC9</c:v>
                </c:pt>
                <c:pt idx="15">
                  <c:v>PC10</c:v>
                </c:pt>
                <c:pt idx="16">
                  <c:v>MK7</c:v>
                </c:pt>
                <c:pt idx="17">
                  <c:v>SBP1</c:v>
                </c:pt>
                <c:pt idx="18">
                  <c:v>SBP2</c:v>
                </c:pt>
                <c:pt idx="19">
                  <c:v>PBLI1</c:v>
                </c:pt>
                <c:pt idx="20">
                  <c:v>PBLI2</c:v>
                </c:pt>
                <c:pt idx="21">
                  <c:v>Prof1</c:v>
                </c:pt>
                <c:pt idx="22">
                  <c:v>Prof2</c:v>
                </c:pt>
                <c:pt idx="23">
                  <c:v>Prof3</c:v>
                </c:pt>
                <c:pt idx="24">
                  <c:v>ICS1</c:v>
                </c:pt>
                <c:pt idx="25">
                  <c:v>ICS2</c:v>
                </c:pt>
                <c:pt idx="26">
                  <c:v>ICS3</c:v>
                </c:pt>
              </c:strCache>
            </c:strRef>
          </c:cat>
          <c:val>
            <c:numRef>
              <c:f>Sheet1!$E$3:$E$36</c:f>
              <c:numCache>
                <c:formatCode>0.0</c:formatCode>
                <c:ptCount val="27"/>
                <c:pt idx="0">
                  <c:v>4.3</c:v>
                </c:pt>
                <c:pt idx="1">
                  <c:v>4.3</c:v>
                </c:pt>
                <c:pt idx="2">
                  <c:v>4</c:v>
                </c:pt>
                <c:pt idx="3">
                  <c:v>4.5</c:v>
                </c:pt>
                <c:pt idx="4">
                  <c:v>4.3</c:v>
                </c:pt>
                <c:pt idx="5">
                  <c:v>4</c:v>
                </c:pt>
                <c:pt idx="6">
                  <c:v>4.2</c:v>
                </c:pt>
                <c:pt idx="7">
                  <c:v>4.3</c:v>
                </c:pt>
                <c:pt idx="8">
                  <c:v>4.2</c:v>
                </c:pt>
                <c:pt idx="9">
                  <c:v>4.3</c:v>
                </c:pt>
                <c:pt idx="10">
                  <c:v>4.3</c:v>
                </c:pt>
                <c:pt idx="11">
                  <c:v>4</c:v>
                </c:pt>
                <c:pt idx="12">
                  <c:v>4.3</c:v>
                </c:pt>
                <c:pt idx="13">
                  <c:v>4.2</c:v>
                </c:pt>
                <c:pt idx="14">
                  <c:v>4.2</c:v>
                </c:pt>
                <c:pt idx="15">
                  <c:v>4.2</c:v>
                </c:pt>
                <c:pt idx="16">
                  <c:v>4.3</c:v>
                </c:pt>
                <c:pt idx="17">
                  <c:v>4</c:v>
                </c:pt>
                <c:pt idx="18">
                  <c:v>4</c:v>
                </c:pt>
                <c:pt idx="19">
                  <c:v>4</c:v>
                </c:pt>
                <c:pt idx="20">
                  <c:v>4.2</c:v>
                </c:pt>
                <c:pt idx="21">
                  <c:v>4.5</c:v>
                </c:pt>
                <c:pt idx="22">
                  <c:v>4.5</c:v>
                </c:pt>
                <c:pt idx="23">
                  <c:v>4.3</c:v>
                </c:pt>
                <c:pt idx="24">
                  <c:v>4.3</c:v>
                </c:pt>
                <c:pt idx="25">
                  <c:v>4.3</c:v>
                </c:pt>
                <c:pt idx="26">
                  <c:v>4.3</c:v>
                </c:pt>
              </c:numCache>
            </c:numRef>
          </c:val>
          <c:smooth val="0"/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58323712"/>
        <c:axId val="58325248"/>
      </c:lineChart>
      <c:catAx>
        <c:axId val="58323712"/>
        <c:scaling>
          <c:orientation val="minMax"/>
        </c:scaling>
        <c:delete val="0"/>
        <c:axPos val="b"/>
        <c:numFmt formatCode="General" sourceLinked="0"/>
        <c:majorTickMark val="out"/>
        <c:minorTickMark val="none"/>
        <c:tickLblPos val="nextTo"/>
        <c:crossAx val="58325248"/>
        <c:crosses val="autoZero"/>
        <c:auto val="1"/>
        <c:lblAlgn val="ctr"/>
        <c:lblOffset val="100"/>
        <c:noMultiLvlLbl val="0"/>
      </c:catAx>
      <c:valAx>
        <c:axId val="58325248"/>
        <c:scaling>
          <c:orientation val="minMax"/>
        </c:scaling>
        <c:delete val="0"/>
        <c:axPos val="l"/>
        <c:majorGridlines/>
        <c:numFmt formatCode="0.0" sourceLinked="1"/>
        <c:majorTickMark val="out"/>
        <c:minorTickMark val="none"/>
        <c:tickLblPos val="nextTo"/>
        <c:crossAx val="58323712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278</Words>
  <Characters>1589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UCSF Fresno Medical Education Program</Company>
  <LinksUpToDate>false</LinksUpToDate>
  <CharactersWithSpaces>1864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Peters</dc:creator>
  <cp:lastModifiedBy>Heather Harvey</cp:lastModifiedBy>
  <cp:revision>2</cp:revision>
  <dcterms:created xsi:type="dcterms:W3CDTF">2015-11-18T04:33:00Z</dcterms:created>
  <dcterms:modified xsi:type="dcterms:W3CDTF">2015-11-18T04:33:00Z</dcterms:modified>
</cp:coreProperties>
</file>