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DF45" w14:textId="00F324D5" w:rsidR="003C5177" w:rsidRPr="003C5177" w:rsidRDefault="003C5177" w:rsidP="00E91C6C">
      <w:pPr>
        <w:rPr>
          <w:b/>
          <w:bCs/>
        </w:rPr>
      </w:pPr>
      <w:r w:rsidRPr="003C5177">
        <w:rPr>
          <w:b/>
          <w:bCs/>
        </w:rPr>
        <w:t>Overview of the FDA guidance for conducting clinical research during COVID-19 pandemic.</w:t>
      </w:r>
    </w:p>
    <w:p w14:paraId="1DF79D5C" w14:textId="52F3AD94" w:rsidR="003C5177" w:rsidRPr="003C5177" w:rsidRDefault="003C5177" w:rsidP="00E91C6C">
      <w:pPr>
        <w:rPr>
          <w:i/>
          <w:iCs/>
          <w:sz w:val="20"/>
          <w:szCs w:val="20"/>
        </w:rPr>
      </w:pPr>
      <w:r w:rsidRPr="003C5177">
        <w:rPr>
          <w:i/>
          <w:iCs/>
          <w:sz w:val="20"/>
          <w:szCs w:val="20"/>
        </w:rPr>
        <w:t xml:space="preserve">By: </w:t>
      </w:r>
      <w:r w:rsidRPr="003C5177">
        <w:rPr>
          <w:i/>
          <w:iCs/>
          <w:sz w:val="20"/>
          <w:szCs w:val="20"/>
        </w:rPr>
        <w:t>Perez, T., Perez, R. L., &amp; Roman, J. (2020). Conducting clinical research in the era of Covid-19. The American Journal of the Medical Sciences, 360(3), 213-215.</w:t>
      </w:r>
    </w:p>
    <w:p w14:paraId="7A77ED82" w14:textId="77777777" w:rsidR="003C5177" w:rsidRDefault="003C5177" w:rsidP="00E91C6C">
      <w:pPr>
        <w:rPr>
          <w:b/>
          <w:bCs/>
          <w:sz w:val="20"/>
          <w:szCs w:val="20"/>
        </w:rPr>
      </w:pPr>
    </w:p>
    <w:p w14:paraId="41F00E9B" w14:textId="77777777" w:rsidR="003C5177" w:rsidRDefault="003C5177" w:rsidP="00E91C6C">
      <w:pPr>
        <w:rPr>
          <w:b/>
          <w:bCs/>
          <w:sz w:val="20"/>
          <w:szCs w:val="20"/>
        </w:rPr>
      </w:pPr>
    </w:p>
    <w:p w14:paraId="03EBE442" w14:textId="0A6E3B92" w:rsidR="00E91C6C" w:rsidRPr="00E91C6C" w:rsidRDefault="00E91C6C" w:rsidP="00E91C6C">
      <w:pPr>
        <w:rPr>
          <w:b/>
          <w:bCs/>
        </w:rPr>
      </w:pPr>
      <w:r w:rsidRPr="00E91C6C">
        <w:rPr>
          <w:b/>
          <w:bCs/>
        </w:rPr>
        <w:t>Oversight</w:t>
      </w:r>
    </w:p>
    <w:p w14:paraId="0BA07A24" w14:textId="1474649A" w:rsidR="00E91C6C" w:rsidRPr="003C5177" w:rsidRDefault="00E91C6C" w:rsidP="003C51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5177">
        <w:rPr>
          <w:sz w:val="20"/>
          <w:szCs w:val="20"/>
        </w:rPr>
        <w:t>Investigators should determine if it is in the best interest of the subject to continue in a trial and/or continue the use of a trial drug.</w:t>
      </w:r>
    </w:p>
    <w:p w14:paraId="4392A186" w14:textId="605E2A16" w:rsidR="00E91C6C" w:rsidRPr="003C5177" w:rsidRDefault="00E91C6C" w:rsidP="003C51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5177">
        <w:rPr>
          <w:sz w:val="20"/>
          <w:szCs w:val="20"/>
        </w:rPr>
        <w:t>In accordance with research informed consent requirements, the subject should be informed of any protocol changes that could affect their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participation, as this is new relevant information.</w:t>
      </w:r>
    </w:p>
    <w:p w14:paraId="452C98B9" w14:textId="5B5C3DD5" w:rsidR="00E91C6C" w:rsidRPr="003C5177" w:rsidRDefault="00E91C6C" w:rsidP="003C51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5177">
        <w:rPr>
          <w:sz w:val="20"/>
          <w:szCs w:val="20"/>
        </w:rPr>
        <w:t>Industry sponsors should be in contact with each investigative site to provide guidance on safety procedures to be continued such as labs or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other vital status measurements.</w:t>
      </w:r>
    </w:p>
    <w:p w14:paraId="24F5C4B8" w14:textId="79EE6AC7" w:rsidR="00E91C6C" w:rsidRPr="003C5177" w:rsidRDefault="00E91C6C" w:rsidP="003C51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5177">
        <w:rPr>
          <w:sz w:val="20"/>
          <w:szCs w:val="20"/>
        </w:rPr>
        <w:t>IRBs/ECs may need to change their review processes if they are accustomed to meeting in person or submissions are still on paper. Some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central IRBs/ECs already have electronic submissions in place and committee members meet via a secure teleconference format.</w:t>
      </w:r>
    </w:p>
    <w:p w14:paraId="038898BF" w14:textId="3C7D2C9B" w:rsidR="00E91C6C" w:rsidRPr="00E91C6C" w:rsidRDefault="00E91C6C" w:rsidP="00E91C6C">
      <w:pPr>
        <w:rPr>
          <w:b/>
          <w:bCs/>
        </w:rPr>
      </w:pPr>
      <w:r w:rsidRPr="00E91C6C">
        <w:rPr>
          <w:b/>
          <w:bCs/>
        </w:rPr>
        <w:t>Study visits</w:t>
      </w:r>
    </w:p>
    <w:p w14:paraId="1F2510DE" w14:textId="27C106C1" w:rsidR="00E91C6C" w:rsidRPr="003C5177" w:rsidRDefault="00E91C6C" w:rsidP="003C51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5177">
        <w:rPr>
          <w:sz w:val="20"/>
          <w:szCs w:val="20"/>
        </w:rPr>
        <w:t>Alternative means of obtaining data may need to be incorporated after approval from the FDA or IRB/EC. For example, telehealth visits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(telephone calls and video conferencing) can be substituted for in-person visits.</w:t>
      </w:r>
    </w:p>
    <w:p w14:paraId="6C04E186" w14:textId="2924F8EC" w:rsidR="00E91C6C" w:rsidRPr="00E91C6C" w:rsidRDefault="00E91C6C" w:rsidP="00E91C6C">
      <w:pPr>
        <w:rPr>
          <w:b/>
          <w:bCs/>
        </w:rPr>
      </w:pPr>
      <w:r w:rsidRPr="00E91C6C">
        <w:rPr>
          <w:b/>
          <w:bCs/>
        </w:rPr>
        <w:t xml:space="preserve">Study drug, supplies and </w:t>
      </w:r>
      <w:proofErr w:type="gramStart"/>
      <w:r w:rsidRPr="00E91C6C">
        <w:rPr>
          <w:b/>
          <w:bCs/>
        </w:rPr>
        <w:t>equipment</w:t>
      </w:r>
      <w:proofErr w:type="gramEnd"/>
    </w:p>
    <w:p w14:paraId="24738703" w14:textId="598183E5" w:rsidR="00E91C6C" w:rsidRPr="003C5177" w:rsidRDefault="00E91C6C" w:rsidP="003C51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5177">
        <w:rPr>
          <w:sz w:val="20"/>
          <w:szCs w:val="20"/>
        </w:rPr>
        <w:t>A process for the safe shipment of the investigational product or trial drug directly to the subject that meets sponsor approval as well as local,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state, and federal laws can be developed.</w:t>
      </w:r>
    </w:p>
    <w:p w14:paraId="06042CCF" w14:textId="20B6B384" w:rsidR="00E91C6C" w:rsidRPr="003C5177" w:rsidRDefault="00E91C6C" w:rsidP="003C51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5177">
        <w:rPr>
          <w:sz w:val="20"/>
          <w:szCs w:val="20"/>
        </w:rPr>
        <w:t>Similarly, contingency measures to maintain the manufacture and supply of study drug to research sites during a pandemic or other emergency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should be implemented.</w:t>
      </w:r>
    </w:p>
    <w:p w14:paraId="6937A430" w14:textId="77777777" w:rsidR="00E91C6C" w:rsidRPr="00E91C6C" w:rsidRDefault="00E91C6C" w:rsidP="00E91C6C">
      <w:pPr>
        <w:rPr>
          <w:b/>
          <w:bCs/>
        </w:rPr>
      </w:pPr>
      <w:r w:rsidRPr="00E91C6C">
        <w:rPr>
          <w:b/>
          <w:bCs/>
        </w:rPr>
        <w:t>Procedures</w:t>
      </w:r>
    </w:p>
    <w:p w14:paraId="626755C1" w14:textId="68049947" w:rsidR="00E91C6C" w:rsidRPr="003C5177" w:rsidRDefault="00E91C6C" w:rsidP="003C51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5177">
        <w:rPr>
          <w:sz w:val="20"/>
          <w:szCs w:val="20"/>
        </w:rPr>
        <w:t>Some protocol-specified assessments for efficacy will most likely be delayed or missed and could affect the integrity of the study. However,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protocol specified procedures that put the subject or research staff at risk for contracting the virus should be postponed to a later date. These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include situations that require close respiratory/facial contact and/or aerosol generating procedures (e.g., pulmonary function testing,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nebulization, bronchoscopy, collection of sputum samples, intubation).</w:t>
      </w:r>
    </w:p>
    <w:p w14:paraId="291C1B29" w14:textId="272B7E42" w:rsidR="00E91C6C" w:rsidRPr="003C5177" w:rsidRDefault="00E91C6C" w:rsidP="003C51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5177">
        <w:rPr>
          <w:sz w:val="20"/>
          <w:szCs w:val="20"/>
        </w:rPr>
        <w:t>Sponsors should seek guidance from the FDA when such protocol changes are considered to affect proposed study endpoints and/or statistical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analysis.</w:t>
      </w:r>
    </w:p>
    <w:p w14:paraId="364AC784" w14:textId="7F7D1565" w:rsidR="00E91C6C" w:rsidRPr="00E91C6C" w:rsidRDefault="00E91C6C" w:rsidP="00E91C6C">
      <w:pPr>
        <w:rPr>
          <w:b/>
          <w:bCs/>
        </w:rPr>
      </w:pPr>
      <w:r w:rsidRPr="00E91C6C">
        <w:rPr>
          <w:b/>
          <w:bCs/>
        </w:rPr>
        <w:t>Communication</w:t>
      </w:r>
    </w:p>
    <w:p w14:paraId="1AE38C90" w14:textId="2E757F75" w:rsidR="00E91C6C" w:rsidRPr="003C5177" w:rsidRDefault="00E91C6C" w:rsidP="003C51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5177">
        <w:rPr>
          <w:sz w:val="20"/>
          <w:szCs w:val="20"/>
        </w:rPr>
        <w:t>In accordance with research informed consent requirements, investigators should maintain contact with trial subjects and keep them informed of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protocol changes that could affect their participation (new information).</w:t>
      </w:r>
    </w:p>
    <w:p w14:paraId="1B8CD54D" w14:textId="6F6BCCE4" w:rsidR="00E91C6C" w:rsidRPr="003C5177" w:rsidRDefault="00E91C6C" w:rsidP="003C51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5177">
        <w:rPr>
          <w:sz w:val="20"/>
          <w:szCs w:val="20"/>
        </w:rPr>
        <w:t>Sponsors should be in contact with each investigative site to provide guidance on safety procedures to be continued such as labs or other vital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status measurements.</w:t>
      </w:r>
    </w:p>
    <w:p w14:paraId="04DF9E9A" w14:textId="77777777" w:rsidR="00E91C6C" w:rsidRPr="00E91C6C" w:rsidRDefault="00E91C6C" w:rsidP="00E91C6C">
      <w:pPr>
        <w:rPr>
          <w:b/>
          <w:bCs/>
        </w:rPr>
      </w:pPr>
      <w:r w:rsidRPr="00E91C6C">
        <w:rPr>
          <w:b/>
          <w:bCs/>
        </w:rPr>
        <w:t>Data integrity</w:t>
      </w:r>
    </w:p>
    <w:p w14:paraId="11D43332" w14:textId="3FA6DD1A" w:rsidR="00E91C6C" w:rsidRPr="003C5177" w:rsidRDefault="00E91C6C" w:rsidP="003C51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5177">
        <w:rPr>
          <w:sz w:val="20"/>
          <w:szCs w:val="20"/>
        </w:rPr>
        <w:t>Sponsors and investigators are required to document and maintain a log of all missing data and protocol deviations in the study regulatory files.</w:t>
      </w:r>
    </w:p>
    <w:p w14:paraId="70C69E52" w14:textId="3BB75622" w:rsidR="00E91C6C" w:rsidRPr="003C5177" w:rsidRDefault="00E91C6C" w:rsidP="003C51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5177">
        <w:rPr>
          <w:sz w:val="20"/>
          <w:szCs w:val="20"/>
        </w:rPr>
        <w:t>Any deviations and changes to the protocol should be reported to the local or centralized IRB/EC as soon as possible. As it relates to COVID-19,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the documentation should include a description of the deviation/missing data, its relationship to COVID-19, subject ID (if applicable), and any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mitigation instituted.</w:t>
      </w:r>
    </w:p>
    <w:p w14:paraId="0EB49F49" w14:textId="2C4E15E8" w:rsidR="00E91C6C" w:rsidRPr="003C5177" w:rsidRDefault="00E91C6C" w:rsidP="003C51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5177">
        <w:rPr>
          <w:sz w:val="20"/>
          <w:szCs w:val="20"/>
        </w:rPr>
        <w:t>IRB/ECs should acknowledge and render a decision as to whether it is safe for subjects to continue in a clinical trial.</w:t>
      </w:r>
    </w:p>
    <w:p w14:paraId="60133E58" w14:textId="26483DF2" w:rsidR="00E91C6C" w:rsidRPr="003C5177" w:rsidRDefault="00E91C6C" w:rsidP="003C51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5177">
        <w:rPr>
          <w:sz w:val="20"/>
          <w:szCs w:val="20"/>
        </w:rPr>
        <w:t>Sponsors should provide additional information in the final clinical study report to the FDA. The report should include contingency measures that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were put in place to manage study conduct during the COVID-19 crisis, a log of all trial participants affected by COVID-19 (to include subject ID,</w:t>
      </w:r>
      <w:r w:rsidRPr="003C5177">
        <w:rPr>
          <w:sz w:val="20"/>
          <w:szCs w:val="20"/>
        </w:rPr>
        <w:t xml:space="preserve"> </w:t>
      </w:r>
      <w:r w:rsidRPr="003C5177">
        <w:rPr>
          <w:sz w:val="20"/>
          <w:szCs w:val="20"/>
        </w:rPr>
        <w:t>clinical site, and the deviation), the justification for the changes implemented, and the impact of the changes on the data results and safety.</w:t>
      </w:r>
    </w:p>
    <w:p w14:paraId="6DF1D096" w14:textId="0DB15B48" w:rsidR="00600288" w:rsidRPr="00E91C6C" w:rsidRDefault="00600288" w:rsidP="003975A7">
      <w:pPr>
        <w:rPr>
          <w:sz w:val="20"/>
          <w:szCs w:val="20"/>
        </w:rPr>
      </w:pPr>
    </w:p>
    <w:p w14:paraId="52C27C51" w14:textId="77777777" w:rsidR="00251862" w:rsidRPr="00E91C6C" w:rsidRDefault="00251862" w:rsidP="003975A7">
      <w:pPr>
        <w:rPr>
          <w:sz w:val="20"/>
          <w:szCs w:val="20"/>
        </w:rPr>
      </w:pPr>
    </w:p>
    <w:p w14:paraId="1C7372BE" w14:textId="77777777" w:rsidR="00251862" w:rsidRPr="00E91C6C" w:rsidRDefault="00251862" w:rsidP="003975A7">
      <w:pPr>
        <w:rPr>
          <w:sz w:val="20"/>
          <w:szCs w:val="20"/>
        </w:rPr>
      </w:pPr>
    </w:p>
    <w:sectPr w:rsidR="00251862" w:rsidRPr="00E91C6C" w:rsidSect="00FD0813">
      <w:headerReference w:type="default" r:id="rId8"/>
      <w:footerReference w:type="default" r:id="rId9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DA57" w14:textId="77777777" w:rsidR="00C5524F" w:rsidRDefault="00C5524F" w:rsidP="003975A7">
      <w:r>
        <w:separator/>
      </w:r>
    </w:p>
  </w:endnote>
  <w:endnote w:type="continuationSeparator" w:id="0">
    <w:p w14:paraId="45528742" w14:textId="77777777" w:rsidR="00C5524F" w:rsidRDefault="00C5524F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E2A8" w14:textId="20D70ECA" w:rsidR="003975A7" w:rsidRDefault="00251862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4560293" wp14:editId="5F3250F7">
          <wp:simplePos x="0" y="0"/>
          <wp:positionH relativeFrom="column">
            <wp:posOffset>4171315</wp:posOffset>
          </wp:positionH>
          <wp:positionV relativeFrom="paragraph">
            <wp:posOffset>108585</wp:posOffset>
          </wp:positionV>
          <wp:extent cx="150495" cy="182245"/>
          <wp:effectExtent l="0" t="0" r="1905" b="0"/>
          <wp:wrapThrough wrapText="bothSides">
            <wp:wrapPolygon edited="0">
              <wp:start x="3646" y="0"/>
              <wp:lineTo x="0" y="3010"/>
              <wp:lineTo x="0" y="18063"/>
              <wp:lineTo x="18228" y="18063"/>
              <wp:lineTo x="18228" y="0"/>
              <wp:lineTo x="364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31551202" wp14:editId="7DDCEA0D">
          <wp:simplePos x="0" y="0"/>
          <wp:positionH relativeFrom="column">
            <wp:posOffset>2663190</wp:posOffset>
          </wp:positionH>
          <wp:positionV relativeFrom="paragraph">
            <wp:posOffset>108585</wp:posOffset>
          </wp:positionV>
          <wp:extent cx="150495" cy="182245"/>
          <wp:effectExtent l="0" t="0" r="1905" b="0"/>
          <wp:wrapThrough wrapText="bothSides">
            <wp:wrapPolygon edited="0">
              <wp:start x="3646" y="0"/>
              <wp:lineTo x="0" y="3010"/>
              <wp:lineTo x="0" y="18063"/>
              <wp:lineTo x="18228" y="18063"/>
              <wp:lineTo x="18228" y="0"/>
              <wp:lineTo x="364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8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54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316D62" wp14:editId="755F2C3A">
              <wp:simplePos x="0" y="0"/>
              <wp:positionH relativeFrom="column">
                <wp:posOffset>46355</wp:posOffset>
              </wp:positionH>
              <wp:positionV relativeFrom="page">
                <wp:posOffset>9669780</wp:posOffset>
              </wp:positionV>
              <wp:extent cx="6630670" cy="345440"/>
              <wp:effectExtent l="0" t="0" r="0" b="10160"/>
              <wp:wrapThrough wrapText="bothSides">
                <wp:wrapPolygon edited="0">
                  <wp:start x="83" y="0"/>
                  <wp:lineTo x="83" y="20647"/>
                  <wp:lineTo x="21430" y="20647"/>
                  <wp:lineTo x="21430" y="0"/>
                  <wp:lineTo x="8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6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2CD43C" w14:textId="77777777" w:rsidR="00A9554B" w:rsidRPr="00A9554B" w:rsidRDefault="00A9554B" w:rsidP="00A9554B">
                          <w:pPr>
                            <w:pStyle w:val="Header"/>
                            <w:jc w:val="center"/>
                          </w:pPr>
                          <w:r w:rsidRPr="00A9554B">
                            <w:rPr>
                              <w:rFonts w:ascii="Arial" w:hAnsi="Arial" w:cs="Arial"/>
                            </w:rPr>
                            <w:t xml:space="preserve">       www.PartnersInMedEd.com            724-864-7320             Info@PartnersInMedEd.com</w:t>
                          </w:r>
                          <w:r w:rsidRPr="00A9554B">
                            <w:t xml:space="preserve"> </w:t>
                          </w:r>
                        </w:p>
                        <w:p w14:paraId="0E85939C" w14:textId="77777777" w:rsidR="00A9554B" w:rsidRPr="00A9554B" w:rsidRDefault="00A955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16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5pt;margin-top:761.4pt;width:522.1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" filled="f" stroked="f">
              <v:textbox>
                <w:txbxContent>
                  <w:p w14:paraId="262CD43C" w14:textId="77777777" w:rsidR="00A9554B" w:rsidRPr="00A9554B" w:rsidRDefault="00A9554B" w:rsidP="00A9554B">
                    <w:pPr>
                      <w:pStyle w:val="Header"/>
                      <w:jc w:val="center"/>
                    </w:pPr>
                    <w:r w:rsidRPr="00A9554B">
                      <w:rPr>
                        <w:rFonts w:ascii="Arial" w:hAnsi="Arial" w:cs="Arial"/>
                      </w:rPr>
                      <w:t xml:space="preserve">       www.PartnersInMedEd.com            724-864-7320             Info@PartnersInMedEd.com</w:t>
                    </w:r>
                    <w:r w:rsidRPr="00A9554B">
                      <w:t xml:space="preserve"> </w:t>
                    </w:r>
                  </w:p>
                  <w:p w14:paraId="0E85939C" w14:textId="77777777" w:rsidR="00A9554B" w:rsidRPr="00A9554B" w:rsidRDefault="00A9554B"/>
                </w:txbxContent>
              </v:textbox>
              <w10:wrap type="through" anchory="page"/>
            </v:shape>
          </w:pict>
        </mc:Fallback>
      </mc:AlternateContent>
    </w:r>
    <w:r w:rsidR="00FD0813">
      <w:tab/>
    </w:r>
    <w:r w:rsidR="00FD08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3665" w14:textId="77777777" w:rsidR="00C5524F" w:rsidRDefault="00C5524F" w:rsidP="003975A7">
      <w:r>
        <w:separator/>
      </w:r>
    </w:p>
  </w:footnote>
  <w:footnote w:type="continuationSeparator" w:id="0">
    <w:p w14:paraId="7D5DFEBD" w14:textId="77777777" w:rsidR="00C5524F" w:rsidRDefault="00C5524F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833A" w14:textId="6DFB2B8E" w:rsidR="00057396" w:rsidRDefault="00A9554B" w:rsidP="00251862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6723A6" wp14:editId="00060DE0">
          <wp:simplePos x="0" y="0"/>
          <wp:positionH relativeFrom="column">
            <wp:posOffset>-209006</wp:posOffset>
          </wp:positionH>
          <wp:positionV relativeFrom="paragraph">
            <wp:posOffset>-39189</wp:posOffset>
          </wp:positionV>
          <wp:extent cx="2279015" cy="904801"/>
          <wp:effectExtent l="0" t="0" r="6985" b="10160"/>
          <wp:wrapThrough wrapText="bothSides">
            <wp:wrapPolygon edited="0">
              <wp:start x="3852" y="0"/>
              <wp:lineTo x="0" y="3640"/>
              <wp:lineTo x="0" y="12135"/>
              <wp:lineTo x="3611" y="19416"/>
              <wp:lineTo x="5778" y="21236"/>
              <wp:lineTo x="8907" y="21236"/>
              <wp:lineTo x="11074" y="19416"/>
              <wp:lineTo x="21425" y="13955"/>
              <wp:lineTo x="21425" y="3640"/>
              <wp:lineTo x="7704" y="0"/>
              <wp:lineTo x="3852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9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>
      <w:br/>
    </w:r>
  </w:p>
  <w:p w14:paraId="57C2E1B1" w14:textId="77777777" w:rsidR="00251862" w:rsidRDefault="00251862" w:rsidP="00251862">
    <w:pPr>
      <w:pStyle w:val="Header"/>
      <w:jc w:val="right"/>
    </w:pPr>
  </w:p>
  <w:p w14:paraId="0CD20FF6" w14:textId="77777777" w:rsidR="00251862" w:rsidRDefault="00251862" w:rsidP="002518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CE6"/>
    <w:multiLevelType w:val="hybridMultilevel"/>
    <w:tmpl w:val="0B0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C80"/>
    <w:multiLevelType w:val="hybridMultilevel"/>
    <w:tmpl w:val="D58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47D"/>
    <w:multiLevelType w:val="hybridMultilevel"/>
    <w:tmpl w:val="BEB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24B58"/>
    <w:multiLevelType w:val="hybridMultilevel"/>
    <w:tmpl w:val="5680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77B8"/>
    <w:multiLevelType w:val="hybridMultilevel"/>
    <w:tmpl w:val="40CA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160CB"/>
    <w:rsid w:val="001377C0"/>
    <w:rsid w:val="001851A0"/>
    <w:rsid w:val="001B406D"/>
    <w:rsid w:val="00242D67"/>
    <w:rsid w:val="00251862"/>
    <w:rsid w:val="00333252"/>
    <w:rsid w:val="0034103F"/>
    <w:rsid w:val="003515C1"/>
    <w:rsid w:val="00374A2C"/>
    <w:rsid w:val="003975A7"/>
    <w:rsid w:val="003C2699"/>
    <w:rsid w:val="003C5177"/>
    <w:rsid w:val="003D3903"/>
    <w:rsid w:val="003F7DFA"/>
    <w:rsid w:val="004253A8"/>
    <w:rsid w:val="0051108C"/>
    <w:rsid w:val="005166A2"/>
    <w:rsid w:val="00600288"/>
    <w:rsid w:val="00616F72"/>
    <w:rsid w:val="00621F46"/>
    <w:rsid w:val="00625080"/>
    <w:rsid w:val="00664263"/>
    <w:rsid w:val="006C4A01"/>
    <w:rsid w:val="00822A69"/>
    <w:rsid w:val="00850013"/>
    <w:rsid w:val="008D78EC"/>
    <w:rsid w:val="00912FF7"/>
    <w:rsid w:val="009546EE"/>
    <w:rsid w:val="00A9554B"/>
    <w:rsid w:val="00AB26A1"/>
    <w:rsid w:val="00B41A98"/>
    <w:rsid w:val="00C100E5"/>
    <w:rsid w:val="00C5524F"/>
    <w:rsid w:val="00CF79C3"/>
    <w:rsid w:val="00D70B29"/>
    <w:rsid w:val="00DC026E"/>
    <w:rsid w:val="00DD654F"/>
    <w:rsid w:val="00E91C6C"/>
    <w:rsid w:val="00F11F19"/>
    <w:rsid w:val="00F6724F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DB5BD-9742-49C4-B8EA-10477595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brannan</cp:lastModifiedBy>
  <cp:revision>3</cp:revision>
  <cp:lastPrinted>2018-01-12T14:32:00Z</cp:lastPrinted>
  <dcterms:created xsi:type="dcterms:W3CDTF">2020-04-16T00:16:00Z</dcterms:created>
  <dcterms:modified xsi:type="dcterms:W3CDTF">2021-01-17T20:57:00Z</dcterms:modified>
</cp:coreProperties>
</file>