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16" w:rsidRDefault="006126AC" w:rsidP="00310C22">
      <w:pPr>
        <w:jc w:val="center"/>
        <w:rPr>
          <w:rFonts w:ascii="Lucida Bright" w:hAnsi="Lucida Bright"/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8E21EF" wp14:editId="40B891A2">
            <wp:simplePos x="0" y="0"/>
            <wp:positionH relativeFrom="page">
              <wp:posOffset>2838450</wp:posOffset>
            </wp:positionH>
            <wp:positionV relativeFrom="page">
              <wp:posOffset>485775</wp:posOffset>
            </wp:positionV>
            <wp:extent cx="2133600" cy="868735"/>
            <wp:effectExtent l="0" t="0" r="0" b="7620"/>
            <wp:wrapNone/>
            <wp:docPr id="1" name="Picture 1" descr="C:\Users\Pamala\AppData\Local\Microsoft\Windows\Temporary Internet Files\Content.Outlook\ML79IV1G\PME_logo_NoTag_12_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ala\AppData\Local\Microsoft\Windows\Temporary Internet Files\Content.Outlook\ML79IV1G\PME_logo_NoTag_12_24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16" w:rsidRDefault="004E5016" w:rsidP="00310C22">
      <w:pPr>
        <w:jc w:val="center"/>
        <w:rPr>
          <w:rFonts w:ascii="Lucida Bright" w:hAnsi="Lucida Bright"/>
          <w:i/>
          <w:sz w:val="22"/>
          <w:szCs w:val="22"/>
        </w:rPr>
      </w:pPr>
    </w:p>
    <w:p w:rsidR="004E5016" w:rsidRDefault="004E5016" w:rsidP="00310C22">
      <w:pPr>
        <w:jc w:val="center"/>
        <w:rPr>
          <w:rFonts w:ascii="Lucida Bright" w:hAnsi="Lucida Bright"/>
          <w:i/>
          <w:sz w:val="22"/>
          <w:szCs w:val="22"/>
        </w:rPr>
      </w:pPr>
    </w:p>
    <w:p w:rsidR="004E5016" w:rsidRDefault="004E5016" w:rsidP="00310C22">
      <w:pPr>
        <w:jc w:val="center"/>
        <w:rPr>
          <w:rFonts w:ascii="Lucida Bright" w:hAnsi="Lucida Bright"/>
          <w:i/>
          <w:sz w:val="22"/>
          <w:szCs w:val="22"/>
        </w:rPr>
      </w:pPr>
    </w:p>
    <w:p w:rsidR="004E5016" w:rsidRDefault="004E5016" w:rsidP="00310C22">
      <w:pPr>
        <w:jc w:val="center"/>
        <w:rPr>
          <w:rFonts w:ascii="Lucida Bright" w:hAnsi="Lucida Bright"/>
          <w:i/>
          <w:sz w:val="22"/>
          <w:szCs w:val="22"/>
        </w:rPr>
      </w:pPr>
    </w:p>
    <w:p w:rsidR="004E5016" w:rsidRDefault="004E5016" w:rsidP="00310C22">
      <w:pPr>
        <w:jc w:val="center"/>
        <w:rPr>
          <w:rFonts w:ascii="Lucida Bright" w:hAnsi="Lucida Bright"/>
          <w:i/>
          <w:sz w:val="22"/>
          <w:szCs w:val="22"/>
        </w:rPr>
      </w:pPr>
    </w:p>
    <w:p w:rsidR="00310C22" w:rsidRPr="004E5016" w:rsidRDefault="004E5016" w:rsidP="00310C22">
      <w:pPr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SAMPLE PROGRAM POLICY: CLINICAL COMPETENCY COMMITTEE</w:t>
      </w:r>
    </w:p>
    <w:p w:rsidR="00310C22" w:rsidRPr="00310C22" w:rsidRDefault="00310C22" w:rsidP="00310C22">
      <w:pPr>
        <w:jc w:val="center"/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 xml:space="preserve">POLICY:    </w:t>
      </w:r>
      <w:r w:rsidRPr="00310C22">
        <w:rPr>
          <w:rFonts w:ascii="Lucida Bright" w:hAnsi="Lucida Bright"/>
          <w:sz w:val="22"/>
          <w:szCs w:val="22"/>
        </w:rPr>
        <w:tab/>
      </w:r>
      <w:r w:rsidRPr="00310C22">
        <w:rPr>
          <w:rFonts w:ascii="Lucida Bright" w:hAnsi="Lucida Bright"/>
          <w:sz w:val="22"/>
          <w:szCs w:val="22"/>
        </w:rPr>
        <w:tab/>
      </w:r>
      <w:r w:rsidRPr="00310C22">
        <w:rPr>
          <w:rFonts w:ascii="Lucida Bright" w:hAnsi="Lucida Bright"/>
          <w:sz w:val="22"/>
          <w:szCs w:val="22"/>
        </w:rPr>
        <w:tab/>
        <w:t>Clinical Competency Committee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 xml:space="preserve">EFFECTIVE DATE:     </w:t>
      </w:r>
      <w:r w:rsidRPr="00310C22">
        <w:rPr>
          <w:rFonts w:ascii="Lucida Bright" w:hAnsi="Lucida Bright"/>
          <w:sz w:val="22"/>
          <w:szCs w:val="22"/>
        </w:rPr>
        <w:tab/>
        <w:t>July 1, 2013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>POLICY NUMBER: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 xml:space="preserve"> </w:t>
      </w:r>
    </w:p>
    <w:p w:rsidR="00310C22" w:rsidRPr="00310C22" w:rsidRDefault="00310C22" w:rsidP="00310C22">
      <w:pPr>
        <w:rPr>
          <w:rFonts w:ascii="Lucida Bright" w:hAnsi="Lucida Bright"/>
          <w:color w:val="FF0000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  <w:u w:val="single"/>
        </w:rPr>
        <w:t>PURPOSE</w:t>
      </w:r>
      <w:r w:rsidRPr="00310C22">
        <w:rPr>
          <w:rFonts w:ascii="Lucida Bright" w:hAnsi="Lucida Bright"/>
          <w:sz w:val="22"/>
          <w:szCs w:val="22"/>
        </w:rPr>
        <w:t>: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4E5016" w:rsidRDefault="0078138C" w:rsidP="00310C2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The Program D</w:t>
      </w:r>
      <w:r w:rsidR="00310C22" w:rsidRPr="00310C22">
        <w:rPr>
          <w:rFonts w:ascii="Lucida Bright" w:hAnsi="Lucida Bright"/>
          <w:sz w:val="22"/>
          <w:szCs w:val="22"/>
        </w:rPr>
        <w:t>irector</w:t>
      </w:r>
      <w:r w:rsidR="004E5016">
        <w:rPr>
          <w:rFonts w:ascii="Lucida Bright" w:hAnsi="Lucida Bright"/>
          <w:sz w:val="22"/>
          <w:szCs w:val="22"/>
        </w:rPr>
        <w:t xml:space="preserve"> must appoint the program’s Clinical Competency Committee, and ensure the Committee’s effective evaluation of each resident’s competence as demonstrated through achievement of the ACGME specialty’s milestones.</w:t>
      </w:r>
    </w:p>
    <w:p w:rsid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4E5016" w:rsidRPr="00310C22" w:rsidRDefault="004E5016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  <w:u w:val="single"/>
        </w:rPr>
        <w:t>POLICY</w:t>
      </w:r>
      <w:r w:rsidRPr="00310C22">
        <w:rPr>
          <w:rFonts w:ascii="Lucida Bright" w:hAnsi="Lucida Bright"/>
          <w:sz w:val="22"/>
          <w:szCs w:val="22"/>
        </w:rPr>
        <w:t>: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7D3293" w:rsidP="00310C2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The</w:t>
      </w:r>
      <w:r w:rsidR="00310C22" w:rsidRPr="00310C22">
        <w:rPr>
          <w:rFonts w:ascii="Lucida Bright" w:hAnsi="Lucida Bright"/>
          <w:sz w:val="22"/>
          <w:szCs w:val="22"/>
        </w:rPr>
        <w:t xml:space="preserve"> Clinical Competency Committee (CCC) </w:t>
      </w:r>
      <w:r>
        <w:rPr>
          <w:rFonts w:ascii="Lucida Bright" w:hAnsi="Lucida Bright"/>
          <w:sz w:val="22"/>
          <w:szCs w:val="22"/>
        </w:rPr>
        <w:t xml:space="preserve">will </w:t>
      </w:r>
      <w:r w:rsidR="00310C22" w:rsidRPr="00310C22">
        <w:rPr>
          <w:rFonts w:ascii="Lucida Bright" w:hAnsi="Lucida Bright"/>
          <w:sz w:val="22"/>
          <w:szCs w:val="22"/>
        </w:rPr>
        <w:t xml:space="preserve">review </w:t>
      </w:r>
      <w:r w:rsidR="004E5016">
        <w:rPr>
          <w:rFonts w:ascii="Lucida Bright" w:hAnsi="Lucida Bright"/>
          <w:sz w:val="22"/>
          <w:szCs w:val="22"/>
        </w:rPr>
        <w:t xml:space="preserve">all resident </w:t>
      </w:r>
      <w:r w:rsidR="00310C22" w:rsidRPr="00310C22">
        <w:rPr>
          <w:rFonts w:ascii="Lucida Bright" w:hAnsi="Lucida Bright"/>
          <w:sz w:val="22"/>
          <w:szCs w:val="22"/>
        </w:rPr>
        <w:t>evaluations</w:t>
      </w:r>
      <w:r w:rsidR="004E5016">
        <w:rPr>
          <w:rFonts w:ascii="Lucida Bright" w:hAnsi="Lucida Bright"/>
          <w:sz w:val="22"/>
          <w:szCs w:val="22"/>
        </w:rPr>
        <w:t>;</w:t>
      </w:r>
      <w:r w:rsidR="00310C22" w:rsidRPr="00310C22">
        <w:rPr>
          <w:rFonts w:ascii="Lucida Bright" w:hAnsi="Lucida Bright"/>
          <w:sz w:val="22"/>
          <w:szCs w:val="22"/>
        </w:rPr>
        <w:t xml:space="preserve"> prepare and assure </w:t>
      </w:r>
      <w:r>
        <w:rPr>
          <w:rFonts w:ascii="Lucida Bright" w:hAnsi="Lucida Bright"/>
          <w:sz w:val="22"/>
          <w:szCs w:val="22"/>
        </w:rPr>
        <w:t xml:space="preserve">the </w:t>
      </w:r>
      <w:r w:rsidR="00310C22" w:rsidRPr="00310C22">
        <w:rPr>
          <w:rFonts w:ascii="Lucida Bright" w:hAnsi="Lucida Bright"/>
          <w:sz w:val="22"/>
          <w:szCs w:val="22"/>
        </w:rPr>
        <w:t>reporting of</w:t>
      </w:r>
      <w:r>
        <w:rPr>
          <w:rFonts w:ascii="Lucida Bright" w:hAnsi="Lucida Bright"/>
          <w:sz w:val="22"/>
          <w:szCs w:val="22"/>
        </w:rPr>
        <w:t xml:space="preserve"> the M</w:t>
      </w:r>
      <w:r w:rsidR="00310C22" w:rsidRPr="00310C22">
        <w:rPr>
          <w:rFonts w:ascii="Lucida Bright" w:hAnsi="Lucida Bright"/>
          <w:sz w:val="22"/>
          <w:szCs w:val="22"/>
        </w:rPr>
        <w:t>ilestone evaluations</w:t>
      </w:r>
      <w:r w:rsidR="004E5016">
        <w:rPr>
          <w:rFonts w:ascii="Lucida Bright" w:hAnsi="Lucida Bright"/>
          <w:sz w:val="22"/>
          <w:szCs w:val="22"/>
        </w:rPr>
        <w:t xml:space="preserve"> of each resident to ACGME; </w:t>
      </w:r>
      <w:r w:rsidR="00310C22" w:rsidRPr="00310C22">
        <w:rPr>
          <w:rFonts w:ascii="Lucida Bright" w:hAnsi="Lucida Bright"/>
          <w:sz w:val="22"/>
          <w:szCs w:val="22"/>
        </w:rPr>
        <w:t>a</w:t>
      </w:r>
      <w:r w:rsidR="0078138C">
        <w:rPr>
          <w:rFonts w:ascii="Lucida Bright" w:hAnsi="Lucida Bright"/>
          <w:sz w:val="22"/>
          <w:szCs w:val="22"/>
        </w:rPr>
        <w:t>nd</w:t>
      </w:r>
      <w:r>
        <w:rPr>
          <w:rFonts w:ascii="Lucida Bright" w:hAnsi="Lucida Bright"/>
          <w:sz w:val="22"/>
          <w:szCs w:val="22"/>
        </w:rPr>
        <w:t xml:space="preserve"> advise the program director regarding </w:t>
      </w:r>
      <w:r w:rsidR="00310C22" w:rsidRPr="00310C22">
        <w:rPr>
          <w:rFonts w:ascii="Lucida Bright" w:hAnsi="Lucida Bright"/>
          <w:sz w:val="22"/>
          <w:szCs w:val="22"/>
        </w:rPr>
        <w:t xml:space="preserve">resident progress, </w:t>
      </w:r>
      <w:r w:rsidR="004E5016">
        <w:rPr>
          <w:rFonts w:ascii="Lucida Bright" w:hAnsi="Lucida Bright"/>
          <w:sz w:val="22"/>
          <w:szCs w:val="22"/>
        </w:rPr>
        <w:t xml:space="preserve">including </w:t>
      </w:r>
      <w:r w:rsidR="00310C22" w:rsidRPr="00310C22">
        <w:rPr>
          <w:rFonts w:ascii="Lucida Bright" w:hAnsi="Lucida Bright"/>
          <w:sz w:val="22"/>
          <w:szCs w:val="22"/>
        </w:rPr>
        <w:t xml:space="preserve">promotion, remediation and dismissal. 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  <w:u w:val="single"/>
        </w:rPr>
        <w:t>PROCEDURE</w:t>
      </w:r>
      <w:r w:rsidRPr="00310C22">
        <w:rPr>
          <w:rFonts w:ascii="Lucida Bright" w:hAnsi="Lucida Bright"/>
          <w:sz w:val="22"/>
          <w:szCs w:val="22"/>
        </w:rPr>
        <w:t>: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78138C" w:rsidP="00310C22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The Program D</w:t>
      </w:r>
      <w:r w:rsidR="00310C22" w:rsidRPr="00310C22">
        <w:rPr>
          <w:rFonts w:ascii="Lucida Bright" w:hAnsi="Lucida Bright"/>
          <w:sz w:val="22"/>
          <w:szCs w:val="22"/>
        </w:rPr>
        <w:t>irector of the [</w:t>
      </w:r>
      <w:r w:rsidR="00310C22" w:rsidRPr="00310C22">
        <w:rPr>
          <w:rFonts w:ascii="Lucida Bright" w:hAnsi="Lucida Bright"/>
          <w:color w:val="FF0000"/>
          <w:sz w:val="22"/>
          <w:szCs w:val="22"/>
        </w:rPr>
        <w:t>residency program</w:t>
      </w:r>
      <w:r w:rsidR="00310C22" w:rsidRPr="00310C22">
        <w:rPr>
          <w:rFonts w:ascii="Lucida Bright" w:hAnsi="Lucida Bright"/>
          <w:sz w:val="22"/>
          <w:szCs w:val="22"/>
        </w:rPr>
        <w:t xml:space="preserve">] must appoint the members of the Clinical Competency Committee. </w:t>
      </w:r>
    </w:p>
    <w:p w:rsidR="00EA098F" w:rsidRDefault="00EA098F" w:rsidP="00EA098F">
      <w:pPr>
        <w:ind w:left="1080"/>
        <w:rPr>
          <w:rFonts w:ascii="Lucida Bright" w:hAnsi="Lucida Bright"/>
          <w:sz w:val="22"/>
          <w:szCs w:val="22"/>
        </w:rPr>
      </w:pPr>
    </w:p>
    <w:p w:rsidR="00310C22" w:rsidRDefault="00310C22" w:rsidP="00310C22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>The Clinical Competency Committee must be composed of at least three members of the</w:t>
      </w:r>
      <w:r w:rsidR="00863735">
        <w:rPr>
          <w:rFonts w:ascii="Lucida Bright" w:hAnsi="Lucida Bright"/>
          <w:sz w:val="22"/>
          <w:szCs w:val="22"/>
        </w:rPr>
        <w:t xml:space="preserve"> program’s </w:t>
      </w:r>
      <w:r w:rsidRPr="00310C22">
        <w:rPr>
          <w:rFonts w:ascii="Lucida Bright" w:hAnsi="Lucida Bright"/>
          <w:sz w:val="22"/>
          <w:szCs w:val="22"/>
        </w:rPr>
        <w:t>faculty.</w:t>
      </w:r>
    </w:p>
    <w:p w:rsidR="00EF7F37" w:rsidRDefault="00EF7F37" w:rsidP="00EF7F37">
      <w:pPr>
        <w:ind w:left="1080"/>
        <w:rPr>
          <w:rFonts w:ascii="Lucida Bright" w:hAnsi="Lucida Bright"/>
          <w:sz w:val="22"/>
          <w:szCs w:val="22"/>
        </w:rPr>
      </w:pPr>
    </w:p>
    <w:p w:rsidR="00EF7F37" w:rsidRDefault="00EF7F37" w:rsidP="00310C22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Residents/fellows </w:t>
      </w:r>
      <w:r>
        <w:rPr>
          <w:rFonts w:ascii="Lucida Bright" w:hAnsi="Lucida Bright"/>
          <w:sz w:val="22"/>
          <w:szCs w:val="22"/>
          <w:u w:val="single"/>
        </w:rPr>
        <w:t>cannot</w:t>
      </w:r>
      <w:r>
        <w:rPr>
          <w:rFonts w:ascii="Lucida Bright" w:hAnsi="Lucida Bright"/>
          <w:sz w:val="22"/>
          <w:szCs w:val="22"/>
        </w:rPr>
        <w:t xml:space="preserve"> be appointed as CCC members.</w:t>
      </w:r>
    </w:p>
    <w:p w:rsidR="00310BEC" w:rsidRDefault="00310BEC" w:rsidP="00310BEC">
      <w:pPr>
        <w:ind w:left="1080"/>
        <w:rPr>
          <w:rFonts w:ascii="Lucida Bright" w:hAnsi="Lucida Bright"/>
          <w:sz w:val="22"/>
          <w:szCs w:val="22"/>
        </w:rPr>
      </w:pPr>
    </w:p>
    <w:p w:rsidR="0078138C" w:rsidRPr="00843542" w:rsidRDefault="00310BEC" w:rsidP="0078138C">
      <w:pPr>
        <w:numPr>
          <w:ilvl w:val="1"/>
          <w:numId w:val="1"/>
        </w:numPr>
        <w:rPr>
          <w:rFonts w:ascii="Lucida Bright" w:hAnsi="Lucida Bright"/>
          <w:i/>
          <w:color w:val="FF0000"/>
          <w:sz w:val="22"/>
          <w:szCs w:val="22"/>
        </w:rPr>
      </w:pPr>
      <w:r w:rsidRPr="00310BEC">
        <w:rPr>
          <w:rFonts w:ascii="Lucida Bright" w:hAnsi="Lucida Bright"/>
          <w:sz w:val="22"/>
          <w:szCs w:val="22"/>
        </w:rPr>
        <w:t>Others</w:t>
      </w:r>
      <w:r w:rsidR="00310C22" w:rsidRPr="00310BEC">
        <w:rPr>
          <w:rFonts w:ascii="Lucida Bright" w:hAnsi="Lucida Bright"/>
          <w:sz w:val="22"/>
          <w:szCs w:val="22"/>
        </w:rPr>
        <w:t xml:space="preserve"> eligible for appointment to the Clinical Competency Committee include </w:t>
      </w:r>
      <w:r w:rsidRPr="00310BEC">
        <w:rPr>
          <w:rFonts w:ascii="Lucida Bright" w:hAnsi="Lucida Bright"/>
          <w:sz w:val="22"/>
          <w:szCs w:val="22"/>
        </w:rPr>
        <w:t xml:space="preserve">faculty from other programs and non-physician members of the healthcare team. </w:t>
      </w:r>
      <w:r w:rsidR="00EF7F37">
        <w:rPr>
          <w:rFonts w:ascii="Lucida Bright" w:hAnsi="Lucida Bright"/>
          <w:sz w:val="22"/>
          <w:szCs w:val="22"/>
        </w:rPr>
        <w:t xml:space="preserve"> A non-physician appointee must be one who serves as a faculty member in the program </w:t>
      </w:r>
      <w:r w:rsidR="00EF7F37" w:rsidRPr="00843542">
        <w:rPr>
          <w:rFonts w:ascii="Lucida Bright" w:hAnsi="Lucida Bright"/>
          <w:i/>
          <w:color w:val="FF0000"/>
          <w:sz w:val="22"/>
          <w:szCs w:val="22"/>
        </w:rPr>
        <w:t xml:space="preserve">(i.e., clinical psychologist in Psychiatry, physicist in Radiology). </w:t>
      </w:r>
    </w:p>
    <w:p w:rsidR="00310BEC" w:rsidRDefault="00310BEC" w:rsidP="00310BEC">
      <w:pPr>
        <w:pStyle w:val="ListParagraph"/>
        <w:rPr>
          <w:rFonts w:ascii="Lucida Bright" w:hAnsi="Lucida Bright"/>
          <w:sz w:val="22"/>
          <w:szCs w:val="22"/>
        </w:rPr>
      </w:pPr>
    </w:p>
    <w:p w:rsidR="0078138C" w:rsidRDefault="0078138C" w:rsidP="00310C22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All members should work directly with the program’s residents on a regular basis.</w:t>
      </w:r>
    </w:p>
    <w:p w:rsidR="0078138C" w:rsidRDefault="0078138C" w:rsidP="0078138C">
      <w:pPr>
        <w:pStyle w:val="ListParagraph"/>
        <w:rPr>
          <w:rFonts w:ascii="Lucida Bright" w:hAnsi="Lucida Bright"/>
          <w:sz w:val="22"/>
          <w:szCs w:val="22"/>
        </w:rPr>
      </w:pPr>
    </w:p>
    <w:p w:rsidR="0078138C" w:rsidRDefault="0078138C" w:rsidP="0078138C">
      <w:pPr>
        <w:rPr>
          <w:rFonts w:ascii="Lucida Bright" w:hAnsi="Lucida Bright"/>
          <w:sz w:val="22"/>
          <w:szCs w:val="22"/>
        </w:rPr>
      </w:pPr>
    </w:p>
    <w:p w:rsid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BEC" w:rsidRDefault="00310BEC" w:rsidP="00310C22">
      <w:pPr>
        <w:rPr>
          <w:rFonts w:ascii="Lucida Bright" w:hAnsi="Lucida Bright"/>
          <w:sz w:val="22"/>
          <w:szCs w:val="22"/>
        </w:rPr>
      </w:pPr>
    </w:p>
    <w:p w:rsidR="00310BEC" w:rsidRPr="00310C22" w:rsidRDefault="00310BEC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>Responsibilities of the Clinical Competency Committee include:</w:t>
      </w:r>
    </w:p>
    <w:p w:rsidR="00310C22" w:rsidRPr="00310C22" w:rsidRDefault="00310C22" w:rsidP="00310C22">
      <w:pPr>
        <w:ind w:left="720"/>
        <w:rPr>
          <w:rFonts w:ascii="Lucida Bright" w:hAnsi="Lucida Bright"/>
          <w:sz w:val="22"/>
          <w:szCs w:val="22"/>
        </w:rPr>
      </w:pPr>
    </w:p>
    <w:p w:rsidR="0078138C" w:rsidRDefault="00310C22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 w:rsidRPr="0078138C">
        <w:rPr>
          <w:rFonts w:ascii="Lucida Bright" w:hAnsi="Lucida Bright"/>
          <w:sz w:val="22"/>
          <w:szCs w:val="22"/>
        </w:rPr>
        <w:lastRenderedPageBreak/>
        <w:t xml:space="preserve">Members must meet, at a minimum, semi-annually.  Ad hoc meetings may occur as necessary. </w:t>
      </w:r>
    </w:p>
    <w:p w:rsidR="00304D33" w:rsidRDefault="0078138C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 w:rsidRPr="00304D33">
        <w:rPr>
          <w:rFonts w:ascii="Lucida Bright" w:hAnsi="Lucida Bright"/>
          <w:sz w:val="22"/>
          <w:szCs w:val="22"/>
        </w:rPr>
        <w:t>The Committee will select a Committee Chair</w:t>
      </w:r>
      <w:r w:rsidR="00310BEC" w:rsidRPr="00304D33">
        <w:rPr>
          <w:rFonts w:ascii="Lucida Bright" w:hAnsi="Lucida Bright"/>
          <w:sz w:val="22"/>
          <w:szCs w:val="22"/>
        </w:rPr>
        <w:t xml:space="preserve">.  </w:t>
      </w:r>
    </w:p>
    <w:p w:rsidR="00310C22" w:rsidRPr="00304D33" w:rsidRDefault="00310C22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 w:rsidRPr="00304D33">
        <w:rPr>
          <w:rFonts w:ascii="Lucida Bright" w:hAnsi="Lucida Bright"/>
          <w:sz w:val="22"/>
          <w:szCs w:val="22"/>
        </w:rPr>
        <w:t>Review all resident evaluations semi-annually.</w:t>
      </w:r>
    </w:p>
    <w:p w:rsidR="00310C22" w:rsidRPr="00310C22" w:rsidRDefault="00FB1A5A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</w:t>
      </w:r>
      <w:r w:rsidR="0010174B">
        <w:rPr>
          <w:rFonts w:ascii="Lucida Bright" w:hAnsi="Lucida Bright"/>
          <w:sz w:val="22"/>
          <w:szCs w:val="22"/>
        </w:rPr>
        <w:t>omplete the standard specialty M</w:t>
      </w:r>
      <w:r>
        <w:rPr>
          <w:rFonts w:ascii="Lucida Bright" w:hAnsi="Lucida Bright"/>
          <w:sz w:val="22"/>
          <w:szCs w:val="22"/>
        </w:rPr>
        <w:t>ilestone repor</w:t>
      </w:r>
      <w:r w:rsidR="0010174B">
        <w:rPr>
          <w:rFonts w:ascii="Lucida Bright" w:hAnsi="Lucida Bright"/>
          <w:sz w:val="22"/>
          <w:szCs w:val="22"/>
        </w:rPr>
        <w:t>ting form; ensure reporting of M</w:t>
      </w:r>
      <w:r>
        <w:rPr>
          <w:rFonts w:ascii="Lucida Bright" w:hAnsi="Lucida Bright"/>
          <w:sz w:val="22"/>
          <w:szCs w:val="22"/>
        </w:rPr>
        <w:t>ilestone evaluations of each resident semi-annually to ACGM</w:t>
      </w:r>
      <w:r w:rsidR="0010174B">
        <w:rPr>
          <w:rFonts w:ascii="Lucida Bright" w:hAnsi="Lucida Bright"/>
          <w:sz w:val="22"/>
          <w:szCs w:val="22"/>
        </w:rPr>
        <w:t>E through direct entry into ADS, or other method as directed by ACGME policy.</w:t>
      </w:r>
    </w:p>
    <w:p w:rsidR="00310C22" w:rsidRDefault="0078138C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Make recommendations to the Program D</w:t>
      </w:r>
      <w:r w:rsidR="00310C22" w:rsidRPr="00310C22">
        <w:rPr>
          <w:rFonts w:ascii="Lucida Bright" w:hAnsi="Lucida Bright"/>
          <w:sz w:val="22"/>
          <w:szCs w:val="22"/>
        </w:rPr>
        <w:t xml:space="preserve">irector </w:t>
      </w:r>
      <w:r w:rsidR="0010174B">
        <w:rPr>
          <w:rFonts w:ascii="Lucida Bright" w:hAnsi="Lucida Bright"/>
          <w:sz w:val="22"/>
          <w:szCs w:val="22"/>
        </w:rPr>
        <w:t xml:space="preserve">regarding </w:t>
      </w:r>
      <w:r w:rsidR="00310C22" w:rsidRPr="00310C22">
        <w:rPr>
          <w:rFonts w:ascii="Lucida Bright" w:hAnsi="Lucida Bright"/>
          <w:sz w:val="22"/>
          <w:szCs w:val="22"/>
        </w:rPr>
        <w:t>resident progress, including promotion, remediation and dismissal.</w:t>
      </w:r>
    </w:p>
    <w:p w:rsidR="0078138C" w:rsidRPr="00310C22" w:rsidRDefault="00111ACB" w:rsidP="00310C22">
      <w:pPr>
        <w:numPr>
          <w:ilvl w:val="1"/>
          <w:numId w:val="1"/>
        </w:numPr>
        <w:spacing w:after="200" w:line="276" w:lineRule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i/>
          <w:color w:val="FF0000"/>
          <w:sz w:val="22"/>
          <w:szCs w:val="22"/>
        </w:rPr>
        <w:t xml:space="preserve">(Not required by ACGME, but we also suggest: )  </w:t>
      </w:r>
      <w:r w:rsidR="0078138C">
        <w:rPr>
          <w:rFonts w:ascii="Lucida Bright" w:hAnsi="Lucida Bright"/>
          <w:sz w:val="22"/>
          <w:szCs w:val="22"/>
        </w:rPr>
        <w:t xml:space="preserve">Make recommendations to the Program Director for additional or revised formative evaluations needed to assess resident performance in the </w:t>
      </w:r>
      <w:r w:rsidR="0010174B">
        <w:rPr>
          <w:rFonts w:ascii="Lucida Bright" w:hAnsi="Lucida Bright"/>
          <w:sz w:val="22"/>
          <w:szCs w:val="22"/>
        </w:rPr>
        <w:t>M</w:t>
      </w:r>
      <w:r w:rsidR="0078138C">
        <w:rPr>
          <w:rFonts w:ascii="Lucida Bright" w:hAnsi="Lucida Bright"/>
          <w:sz w:val="22"/>
          <w:szCs w:val="22"/>
        </w:rPr>
        <w:t>ilestone sub-competency levels.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310C22" w:rsidRPr="0078138C" w:rsidRDefault="00310C22" w:rsidP="00310C22">
      <w:pPr>
        <w:rPr>
          <w:rFonts w:ascii="Lucida Bright" w:hAnsi="Lucida Bright"/>
          <w:color w:val="FF0000"/>
          <w:sz w:val="22"/>
          <w:szCs w:val="22"/>
        </w:rPr>
      </w:pPr>
      <w:r w:rsidRPr="00310C22">
        <w:rPr>
          <w:rFonts w:ascii="Lucida Bright" w:hAnsi="Lucida Bright"/>
          <w:sz w:val="22"/>
          <w:szCs w:val="22"/>
        </w:rPr>
        <w:t xml:space="preserve">Approved:  </w:t>
      </w:r>
      <w:r w:rsidRPr="0078138C">
        <w:rPr>
          <w:rFonts w:ascii="Lucida Bright" w:hAnsi="Lucida Bright"/>
          <w:color w:val="FF0000"/>
          <w:sz w:val="22"/>
          <w:szCs w:val="22"/>
        </w:rPr>
        <w:t>Date</w:t>
      </w:r>
    </w:p>
    <w:p w:rsidR="00310C22" w:rsidRPr="00310C22" w:rsidRDefault="00310C22" w:rsidP="00310C22">
      <w:pPr>
        <w:rPr>
          <w:rFonts w:ascii="Lucida Bright" w:hAnsi="Lucida Bright"/>
          <w:sz w:val="22"/>
          <w:szCs w:val="22"/>
        </w:rPr>
      </w:pPr>
    </w:p>
    <w:p w:rsidR="00C16D3E" w:rsidRPr="00310C22" w:rsidRDefault="00C16D3E" w:rsidP="00310C22">
      <w:pPr>
        <w:rPr>
          <w:rFonts w:ascii="Lucida Bright" w:hAnsi="Lucida Bright"/>
          <w:sz w:val="22"/>
          <w:szCs w:val="22"/>
        </w:rPr>
      </w:pPr>
    </w:p>
    <w:sectPr w:rsidR="00C16D3E" w:rsidRPr="00310C22" w:rsidSect="007813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C6" w:rsidRDefault="00354DC6" w:rsidP="0078138C">
      <w:r>
        <w:separator/>
      </w:r>
    </w:p>
  </w:endnote>
  <w:endnote w:type="continuationSeparator" w:id="0">
    <w:p w:rsidR="00354DC6" w:rsidRDefault="00354DC6" w:rsidP="0078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altName w:val="Georgia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38C" w:rsidRDefault="00781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38C" w:rsidRPr="00704AA6" w:rsidRDefault="00704AA6">
    <w:pPr>
      <w:pStyle w:val="Footer"/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 xml:space="preserve">Prepared by C. Henderson; Partners in Medical Education, Inc.  EDITED </w:t>
    </w:r>
    <w:r w:rsidR="00EF7F37">
      <w:rPr>
        <w:rFonts w:ascii="Lucida Bright" w:hAnsi="Lucida Bright"/>
        <w:sz w:val="18"/>
        <w:szCs w:val="18"/>
      </w:rPr>
      <w:t>4.9.2014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C6" w:rsidRDefault="00354DC6" w:rsidP="0078138C">
      <w:r>
        <w:separator/>
      </w:r>
    </w:p>
  </w:footnote>
  <w:footnote w:type="continuationSeparator" w:id="0">
    <w:p w:rsidR="00354DC6" w:rsidRDefault="00354DC6" w:rsidP="0078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8C" w:rsidRDefault="0078138C">
    <w:pPr>
      <w:pStyle w:val="Header"/>
      <w:rPr>
        <w:rFonts w:ascii="Lucida Bright" w:hAnsi="Lucida Bright"/>
        <w:sz w:val="20"/>
        <w:szCs w:val="20"/>
      </w:rPr>
    </w:pPr>
    <w:r>
      <w:rPr>
        <w:rFonts w:ascii="Lucida Bright" w:hAnsi="Lucida Bright"/>
        <w:sz w:val="20"/>
        <w:szCs w:val="20"/>
      </w:rPr>
      <w:t>Partners in Medical Education, Inc.</w:t>
    </w:r>
  </w:p>
  <w:p w:rsidR="0078138C" w:rsidRPr="0078138C" w:rsidRDefault="0078138C">
    <w:pPr>
      <w:pStyle w:val="Header"/>
      <w:rPr>
        <w:rFonts w:ascii="Lucida Bright" w:hAnsi="Lucida Bright"/>
        <w:sz w:val="20"/>
        <w:szCs w:val="20"/>
      </w:rPr>
    </w:pPr>
    <w:r>
      <w:rPr>
        <w:rFonts w:ascii="Lucida Bright" w:hAnsi="Lucida Bright"/>
        <w:sz w:val="20"/>
        <w:szCs w:val="20"/>
      </w:rPr>
      <w:t>Sample Policy:  Clinical Competency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A2EEA"/>
    <w:multiLevelType w:val="hybridMultilevel"/>
    <w:tmpl w:val="2848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51374"/>
    <w:multiLevelType w:val="hybridMultilevel"/>
    <w:tmpl w:val="E4985B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6D7E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Bright" w:eastAsia="Times New Roman" w:hAnsi="Lucida Bright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4"/>
    <w:rsid w:val="00000FDB"/>
    <w:rsid w:val="000212EE"/>
    <w:rsid w:val="0010174B"/>
    <w:rsid w:val="00111ACB"/>
    <w:rsid w:val="00232198"/>
    <w:rsid w:val="002469F2"/>
    <w:rsid w:val="00246A64"/>
    <w:rsid w:val="00285728"/>
    <w:rsid w:val="00304D33"/>
    <w:rsid w:val="00310BEC"/>
    <w:rsid w:val="00310C22"/>
    <w:rsid w:val="00354DC6"/>
    <w:rsid w:val="003A2E35"/>
    <w:rsid w:val="004B173D"/>
    <w:rsid w:val="004E5016"/>
    <w:rsid w:val="0050089F"/>
    <w:rsid w:val="00587C24"/>
    <w:rsid w:val="006126AC"/>
    <w:rsid w:val="0065157F"/>
    <w:rsid w:val="00704AA6"/>
    <w:rsid w:val="0078138C"/>
    <w:rsid w:val="007D3293"/>
    <w:rsid w:val="00843542"/>
    <w:rsid w:val="00863735"/>
    <w:rsid w:val="00927FD1"/>
    <w:rsid w:val="00A157FF"/>
    <w:rsid w:val="00A8461B"/>
    <w:rsid w:val="00C16D3E"/>
    <w:rsid w:val="00C631E0"/>
    <w:rsid w:val="00E62B55"/>
    <w:rsid w:val="00EA098F"/>
    <w:rsid w:val="00EF7F37"/>
    <w:rsid w:val="00FB1A5A"/>
    <w:rsid w:val="00FC78FB"/>
    <w:rsid w:val="00FD3B43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8EC7C-53A0-4787-84FE-8E5955B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5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Henderson</dc:creator>
  <cp:lastModifiedBy>Catherine Henderson</cp:lastModifiedBy>
  <cp:revision>2</cp:revision>
  <cp:lastPrinted>2013-05-25T01:08:00Z</cp:lastPrinted>
  <dcterms:created xsi:type="dcterms:W3CDTF">2014-04-09T18:27:00Z</dcterms:created>
  <dcterms:modified xsi:type="dcterms:W3CDTF">2014-04-09T18:27:00Z</dcterms:modified>
</cp:coreProperties>
</file>