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2143" w14:textId="3FAC9BE1" w:rsidR="001F7418" w:rsidRDefault="001F7418">
      <w:r w:rsidRPr="001F7418">
        <w:rPr>
          <w:noProof/>
        </w:rPr>
        <w:drawing>
          <wp:anchor distT="0" distB="0" distL="114300" distR="114300" simplePos="0" relativeHeight="251658240" behindDoc="1" locked="0" layoutInCell="1" allowOverlap="1" wp14:anchorId="63228B13" wp14:editId="684C7205">
            <wp:simplePos x="0" y="0"/>
            <wp:positionH relativeFrom="column">
              <wp:posOffset>-876300</wp:posOffset>
            </wp:positionH>
            <wp:positionV relativeFrom="paragraph">
              <wp:posOffset>46990</wp:posOffset>
            </wp:positionV>
            <wp:extent cx="198120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392" y="21466"/>
                <wp:lineTo x="21392" y="0"/>
                <wp:lineTo x="0" y="0"/>
              </wp:wrapPolygon>
            </wp:wrapTight>
            <wp:docPr id="1461251291" name="Picture 1" descr="A green and grey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51291" name="Picture 1" descr="A green and grey arrow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F757BD" w14:textId="620046E5" w:rsidR="001F7418" w:rsidRDefault="001F7418"/>
    <w:p w14:paraId="7345F878" w14:textId="27839877" w:rsidR="001F7418" w:rsidRDefault="001F7418">
      <w:pPr>
        <w:rPr>
          <w:b/>
          <w:bCs/>
          <w:sz w:val="52"/>
          <w:szCs w:val="52"/>
        </w:rPr>
      </w:pPr>
      <w:r w:rsidRPr="001F7418">
        <w:rPr>
          <w:b/>
          <w:bCs/>
          <w:sz w:val="52"/>
          <w:szCs w:val="52"/>
        </w:rPr>
        <w:t>PEC Action Planning Tool</w:t>
      </w:r>
    </w:p>
    <w:p w14:paraId="148C1F53" w14:textId="77777777" w:rsidR="001F7418" w:rsidRDefault="001F7418"/>
    <w:p w14:paraId="641B0343" w14:textId="77777777" w:rsidR="001F7418" w:rsidRDefault="001F7418"/>
    <w:p w14:paraId="22EA7FE1" w14:textId="77777777" w:rsidR="001F7418" w:rsidRDefault="001F7418"/>
    <w:tbl>
      <w:tblPr>
        <w:tblStyle w:val="ListTable4-Accent6"/>
        <w:tblW w:w="10980" w:type="dxa"/>
        <w:tblInd w:w="-725" w:type="dxa"/>
        <w:tblLook w:val="04A0" w:firstRow="1" w:lastRow="0" w:firstColumn="1" w:lastColumn="0" w:noHBand="0" w:noVBand="1"/>
      </w:tblPr>
      <w:tblGrid>
        <w:gridCol w:w="2160"/>
        <w:gridCol w:w="2520"/>
        <w:gridCol w:w="3420"/>
        <w:gridCol w:w="2880"/>
      </w:tblGrid>
      <w:tr w:rsidR="001F7418" w14:paraId="544E644B" w14:textId="77777777" w:rsidTr="007A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70F2899" w14:textId="6FBCCC00" w:rsidR="001F7418" w:rsidRDefault="001F7418">
            <w:r>
              <w:t>What we did</w:t>
            </w:r>
          </w:p>
        </w:tc>
        <w:tc>
          <w:tcPr>
            <w:tcW w:w="2520" w:type="dxa"/>
          </w:tcPr>
          <w:p w14:paraId="3B954349" w14:textId="4BFE1FBE" w:rsidR="001F7418" w:rsidRDefault="001F74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Why we did it</w:t>
            </w:r>
          </w:p>
        </w:tc>
        <w:tc>
          <w:tcPr>
            <w:tcW w:w="3420" w:type="dxa"/>
          </w:tcPr>
          <w:p w14:paraId="68431FDC" w14:textId="3EB03E29" w:rsidR="001F7418" w:rsidRDefault="001F74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Steps accomplished</w:t>
            </w:r>
          </w:p>
        </w:tc>
        <w:tc>
          <w:tcPr>
            <w:tcW w:w="2880" w:type="dxa"/>
          </w:tcPr>
          <w:p w14:paraId="722A1AAD" w14:textId="7C14C844" w:rsidR="001F7418" w:rsidRDefault="001F74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Steps pending</w:t>
            </w:r>
          </w:p>
        </w:tc>
      </w:tr>
      <w:tr w:rsidR="001F7418" w14:paraId="3224A303" w14:textId="77777777" w:rsidTr="007A7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6A7E6A" w14:textId="43A473A2" w:rsidR="001F7418" w:rsidRPr="001F7418" w:rsidRDefault="001F741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Changed the didactic curriculum to include more specialty sessions by focusing on 30-minute case discussions rather than lectures</w:t>
            </w:r>
          </w:p>
        </w:tc>
        <w:tc>
          <w:tcPr>
            <w:tcW w:w="2520" w:type="dxa"/>
          </w:tcPr>
          <w:p w14:paraId="36809B4D" w14:textId="4B60F265" w:rsidR="001F7418" w:rsidRPr="001F7418" w:rsidRDefault="001F7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Conversations based on the 2025 ACGME Survey led to recognition of increased specialty sessions. </w:t>
            </w:r>
          </w:p>
        </w:tc>
        <w:tc>
          <w:tcPr>
            <w:tcW w:w="3420" w:type="dxa"/>
          </w:tcPr>
          <w:p w14:paraId="079DDACD" w14:textId="6EB64331" w:rsidR="001F7418" w:rsidRDefault="001F7418" w:rsidP="001F7418">
            <w:pPr>
              <w:pStyle w:val="ListParagraph"/>
              <w:numPr>
                <w:ilvl w:val="0"/>
                <w:numId w:val="1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Residents and PD met with several specialty faculty members to discuss a format change that would reduce prep time needed for case discussion.</w:t>
            </w:r>
          </w:p>
          <w:p w14:paraId="7ED296EF" w14:textId="1BC914FF" w:rsidR="001F7418" w:rsidRPr="001F7418" w:rsidRDefault="001F7418" w:rsidP="001F7418">
            <w:pPr>
              <w:pStyle w:val="ListParagraph"/>
              <w:numPr>
                <w:ilvl w:val="0"/>
                <w:numId w:val="1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administrator scheduled 15 case discussions in 2025-2026.</w:t>
            </w:r>
          </w:p>
        </w:tc>
        <w:tc>
          <w:tcPr>
            <w:tcW w:w="2880" w:type="dxa"/>
          </w:tcPr>
          <w:p w14:paraId="3666D71D" w14:textId="77777777" w:rsidR="001F7418" w:rsidRDefault="001F7418" w:rsidP="001F7418">
            <w:pPr>
              <w:pStyle w:val="ListParagraph"/>
              <w:numPr>
                <w:ilvl w:val="0"/>
                <w:numId w:val="1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Continue meeting with faculty.</w:t>
            </w:r>
          </w:p>
          <w:p w14:paraId="3FFA00FF" w14:textId="713712D3" w:rsidR="001F7418" w:rsidRDefault="001F7418" w:rsidP="001F7418">
            <w:pPr>
              <w:pStyle w:val="ListParagraph"/>
              <w:numPr>
                <w:ilvl w:val="0"/>
                <w:numId w:val="1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Add a question to the </w:t>
            </w:r>
            <w:r w:rsidR="0064691E">
              <w:t>end-of-year</w:t>
            </w:r>
            <w:r>
              <w:t xml:space="preserve"> program survey regarding </w:t>
            </w:r>
            <w:r w:rsidR="0064691E">
              <w:t xml:space="preserve">the </w:t>
            </w:r>
            <w:r>
              <w:t xml:space="preserve">new didactic format to determine </w:t>
            </w:r>
            <w:r w:rsidR="0064691E">
              <w:t xml:space="preserve">the </w:t>
            </w:r>
            <w:r>
              <w:t>effectiveness of the change.</w:t>
            </w:r>
          </w:p>
          <w:p w14:paraId="6FF55757" w14:textId="407C09FE" w:rsidR="001F7418" w:rsidRPr="001F7418" w:rsidRDefault="007A70E9" w:rsidP="001F7418">
            <w:pPr>
              <w:pStyle w:val="ListParagraph"/>
              <w:numPr>
                <w:ilvl w:val="0"/>
                <w:numId w:val="1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Survey specialty faculty regarding the change format.</w:t>
            </w:r>
          </w:p>
        </w:tc>
      </w:tr>
      <w:tr w:rsidR="001F7418" w14:paraId="030FFE21" w14:textId="77777777" w:rsidTr="007A7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8E6E0D" w14:textId="77777777" w:rsidR="001F7418" w:rsidRPr="001F7418" w:rsidRDefault="001F7418">
            <w:pPr>
              <w:rPr>
                <w:b w:val="0"/>
                <w:bCs w:val="0"/>
              </w:rPr>
            </w:pPr>
          </w:p>
        </w:tc>
        <w:tc>
          <w:tcPr>
            <w:tcW w:w="2520" w:type="dxa"/>
          </w:tcPr>
          <w:p w14:paraId="6D20B8E5" w14:textId="77777777" w:rsidR="001F7418" w:rsidRPr="001F7418" w:rsidRDefault="001F7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1B6210AC" w14:textId="77777777" w:rsidR="001F7418" w:rsidRPr="001F7418" w:rsidRDefault="001F7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1C26441E" w14:textId="77777777" w:rsidR="001F7418" w:rsidRPr="001F7418" w:rsidRDefault="001F7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418" w14:paraId="3A9491A8" w14:textId="77777777" w:rsidTr="007A7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794F98E" w14:textId="77777777" w:rsidR="001F7418" w:rsidRPr="001F7418" w:rsidRDefault="001F7418">
            <w:pPr>
              <w:rPr>
                <w:b w:val="0"/>
                <w:bCs w:val="0"/>
              </w:rPr>
            </w:pPr>
          </w:p>
        </w:tc>
        <w:tc>
          <w:tcPr>
            <w:tcW w:w="2520" w:type="dxa"/>
          </w:tcPr>
          <w:p w14:paraId="49366D97" w14:textId="77777777" w:rsidR="001F7418" w:rsidRPr="001F7418" w:rsidRDefault="001F7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481722C1" w14:textId="77777777" w:rsidR="001F7418" w:rsidRPr="001F7418" w:rsidRDefault="001F7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3A9D2B58" w14:textId="77777777" w:rsidR="001F7418" w:rsidRPr="001F7418" w:rsidRDefault="001F7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418" w14:paraId="2D3A5E80" w14:textId="77777777" w:rsidTr="007A7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0A4A6D5" w14:textId="77777777" w:rsidR="001F7418" w:rsidRPr="001F7418" w:rsidRDefault="001F7418">
            <w:pPr>
              <w:rPr>
                <w:b w:val="0"/>
                <w:bCs w:val="0"/>
              </w:rPr>
            </w:pPr>
          </w:p>
        </w:tc>
        <w:tc>
          <w:tcPr>
            <w:tcW w:w="2520" w:type="dxa"/>
          </w:tcPr>
          <w:p w14:paraId="77A11A2F" w14:textId="77777777" w:rsidR="001F7418" w:rsidRPr="001F7418" w:rsidRDefault="001F7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7A7670FC" w14:textId="77777777" w:rsidR="001F7418" w:rsidRPr="001F7418" w:rsidRDefault="001F7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2CD973C0" w14:textId="77777777" w:rsidR="001F7418" w:rsidRPr="001F7418" w:rsidRDefault="001F7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418" w14:paraId="264198E7" w14:textId="77777777" w:rsidTr="007A7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480E7F" w14:textId="77777777" w:rsidR="001F7418" w:rsidRPr="001F7418" w:rsidRDefault="001F7418">
            <w:pPr>
              <w:rPr>
                <w:b w:val="0"/>
                <w:bCs w:val="0"/>
              </w:rPr>
            </w:pPr>
          </w:p>
        </w:tc>
        <w:tc>
          <w:tcPr>
            <w:tcW w:w="2520" w:type="dxa"/>
          </w:tcPr>
          <w:p w14:paraId="6E60E83D" w14:textId="77777777" w:rsidR="001F7418" w:rsidRPr="001F7418" w:rsidRDefault="001F7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16BA5EA7" w14:textId="77777777" w:rsidR="001F7418" w:rsidRPr="001F7418" w:rsidRDefault="001F7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06CDF521" w14:textId="77777777" w:rsidR="001F7418" w:rsidRPr="001F7418" w:rsidRDefault="001F7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82EE4D" w14:textId="77777777" w:rsidR="001F7418" w:rsidRPr="001F7418" w:rsidRDefault="001F7418"/>
    <w:sectPr w:rsidR="001F7418" w:rsidRPr="001F7418" w:rsidSect="001F7418">
      <w:footerReference w:type="default" r:id="rId11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0152" w14:textId="77777777" w:rsidR="0088185F" w:rsidRDefault="0088185F" w:rsidP="0088185F">
      <w:pPr>
        <w:spacing w:after="0" w:line="240" w:lineRule="auto"/>
      </w:pPr>
      <w:r>
        <w:separator/>
      </w:r>
    </w:p>
  </w:endnote>
  <w:endnote w:type="continuationSeparator" w:id="0">
    <w:p w14:paraId="21717084" w14:textId="77777777" w:rsidR="0088185F" w:rsidRDefault="0088185F" w:rsidP="0088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6AB5" w14:textId="5300CE69" w:rsidR="0088185F" w:rsidRDefault="00C827DE" w:rsidP="00C827DE">
    <w:pPr>
      <w:pStyle w:val="Footer"/>
    </w:pPr>
    <w:r>
      <w:t>Disclaimer – while Partners® makes every effort to ensure the material here is accurate and up to date, you should exercise your own</w:t>
    </w:r>
    <w:r w:rsidR="00CA7B21">
      <w:t xml:space="preserve"> </w:t>
    </w:r>
    <w:r>
      <w:t xml:space="preserve">independent skill and judgement before relying on it to ensure it is still accurate as requirements change frequently. Created </w:t>
    </w:r>
    <w:r w:rsidR="00CA7B21">
      <w:t>January 2</w:t>
    </w:r>
    <w:r>
      <w:t>02</w:t>
    </w:r>
    <w:r w:rsidR="00CA7B21">
      <w:t>6</w:t>
    </w:r>
  </w:p>
  <w:p w14:paraId="22303820" w14:textId="77777777" w:rsidR="0088185F" w:rsidRDefault="0088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EAC1" w14:textId="77777777" w:rsidR="0088185F" w:rsidRDefault="0088185F" w:rsidP="0088185F">
      <w:pPr>
        <w:spacing w:after="0" w:line="240" w:lineRule="auto"/>
      </w:pPr>
      <w:r>
        <w:separator/>
      </w:r>
    </w:p>
  </w:footnote>
  <w:footnote w:type="continuationSeparator" w:id="0">
    <w:p w14:paraId="1C596FB8" w14:textId="77777777" w:rsidR="0088185F" w:rsidRDefault="0088185F" w:rsidP="0088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2B8E"/>
    <w:multiLevelType w:val="hybridMultilevel"/>
    <w:tmpl w:val="15D6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18"/>
    <w:rsid w:val="001F7418"/>
    <w:rsid w:val="00595821"/>
    <w:rsid w:val="0064691E"/>
    <w:rsid w:val="007A70E9"/>
    <w:rsid w:val="008367D1"/>
    <w:rsid w:val="0088185F"/>
    <w:rsid w:val="00C827DE"/>
    <w:rsid w:val="00CA7B21"/>
    <w:rsid w:val="00E9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3C90"/>
  <w15:chartTrackingRefBased/>
  <w15:docId w15:val="{FEF3F849-0B28-44AF-8FAE-E677A728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1F741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81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5F"/>
  </w:style>
  <w:style w:type="paragraph" w:styleId="Footer">
    <w:name w:val="footer"/>
    <w:basedOn w:val="Normal"/>
    <w:link w:val="FooterChar"/>
    <w:uiPriority w:val="99"/>
    <w:unhideWhenUsed/>
    <w:rsid w:val="00881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37d4d523-0ecf-4d56-85eb-df9df8851fdb">
      <Url xsi:nil="true"/>
      <Description xsi:nil="true"/>
    </Link>
    <lcf76f155ced4ddcb4097134ff3c332f xmlns="37d4d523-0ecf-4d56-85eb-df9df8851fdb">
      <Terms xmlns="http://schemas.microsoft.com/office/infopath/2007/PartnerControls"/>
    </lcf76f155ced4ddcb4097134ff3c332f>
    <TaxCatchAll xmlns="5b592465-3d56-4da0-b683-2bace713b1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B7A11D580E14F9BE0484D3412B0B6" ma:contentTypeVersion="16" ma:contentTypeDescription="Create a new document." ma:contentTypeScope="" ma:versionID="6021498e9170dd6569c8a2d9654c0918">
  <xsd:schema xmlns:xsd="http://www.w3.org/2001/XMLSchema" xmlns:xs="http://www.w3.org/2001/XMLSchema" xmlns:p="http://schemas.microsoft.com/office/2006/metadata/properties" xmlns:ns2="37d4d523-0ecf-4d56-85eb-df9df8851fdb" xmlns:ns3="5b592465-3d56-4da0-b683-2bace713b1a0" targetNamespace="http://schemas.microsoft.com/office/2006/metadata/properties" ma:root="true" ma:fieldsID="64d95560dd588d0dd3f3fc61829fe6a4" ns2:_="" ns3:_="">
    <xsd:import namespace="37d4d523-0ecf-4d56-85eb-df9df8851fdb"/>
    <xsd:import namespace="5b592465-3d56-4da0-b683-2bace713b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d523-0ecf-4d56-85eb-df9df8851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ecccba-c4c9-45c7-b798-466261a7c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" ma:index="2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92465-3d56-4da0-b683-2bace713b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f033c4-6452-4770-b075-5520ec8e4c3a}" ma:internalName="TaxCatchAll" ma:showField="CatchAllData" ma:web="5b592465-3d56-4da0-b683-2bace713b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D548E-E8B7-49D4-A56F-ADB533F6E1C1}">
  <ds:schemaRefs>
    <ds:schemaRef ds:uri="http://schemas.microsoft.com/office/2006/metadata/properties"/>
    <ds:schemaRef ds:uri="http://schemas.microsoft.com/office/infopath/2007/PartnerControls"/>
    <ds:schemaRef ds:uri="37d4d523-0ecf-4d56-85eb-df9df8851fdb"/>
    <ds:schemaRef ds:uri="5b592465-3d56-4da0-b683-2bace713b1a0"/>
  </ds:schemaRefs>
</ds:datastoreItem>
</file>

<file path=customXml/itemProps2.xml><?xml version="1.0" encoding="utf-8"?>
<ds:datastoreItem xmlns:ds="http://schemas.openxmlformats.org/officeDocument/2006/customXml" ds:itemID="{DA29D2D7-BC20-460B-B675-F723401EC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7841E-904A-49B8-B0BE-A8CF48EF2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4d523-0ecf-4d56-85eb-df9df8851fdb"/>
    <ds:schemaRef ds:uri="5b592465-3d56-4da0-b683-2bace713b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Meyer</dc:creator>
  <cp:keywords/>
  <dc:description/>
  <cp:lastModifiedBy>BJ Schwartz</cp:lastModifiedBy>
  <cp:revision>6</cp:revision>
  <dcterms:created xsi:type="dcterms:W3CDTF">2026-01-03T18:47:00Z</dcterms:created>
  <dcterms:modified xsi:type="dcterms:W3CDTF">2026-01-06T20:02:00Z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9ee81ebd-7fa8-4e93-902d-2a259ebf8e69</vt:lpwstr>
  </property>
  <property fmtid="{D5CDD505-2E9C-101B-9397-08002B2CF9AE}" pid="3" name="ContentTypeId">
    <vt:lpwstr>0x0101005D3B7A11D580E14F9BE0484D3412B0B6</vt:lpwstr>
  </property>
  <property fmtid="{D5CDD505-2E9C-101B-9397-08002B2CF9AE}" pid="4" name="MediaServiceImageTags">
    <vt:lpwstr/>
  </property>
</Properties>
</file>